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350" w:rsidRDefault="00D03350">
      <w:pPr>
        <w:pBdr>
          <w:top w:val="nil"/>
          <w:left w:val="nil"/>
          <w:bottom w:val="nil"/>
          <w:right w:val="nil"/>
          <w:between w:val="nil"/>
        </w:pBdr>
        <w:jc w:val="center"/>
        <w:rPr>
          <w:rFonts w:ascii="Arial" w:eastAsia="Arial" w:hAnsi="Arial" w:cs="Arial"/>
          <w:b/>
          <w:color w:val="000000"/>
          <w:sz w:val="32"/>
          <w:szCs w:val="32"/>
        </w:rPr>
      </w:pPr>
    </w:p>
    <w:p w:rsidR="00D03350" w:rsidRDefault="00D76C9F">
      <w:pPr>
        <w:pBdr>
          <w:top w:val="nil"/>
          <w:left w:val="nil"/>
          <w:bottom w:val="nil"/>
          <w:right w:val="nil"/>
          <w:between w:val="nil"/>
        </w:pBdr>
        <w:jc w:val="center"/>
        <w:rPr>
          <w:rFonts w:ascii="Arial" w:eastAsia="Arial" w:hAnsi="Arial" w:cs="Arial"/>
          <w:b/>
          <w:color w:val="000000"/>
          <w:sz w:val="32"/>
          <w:szCs w:val="32"/>
        </w:rPr>
      </w:pPr>
      <w:r>
        <w:rPr>
          <w:rFonts w:ascii="Arial" w:eastAsia="Arial" w:hAnsi="Arial" w:cs="Arial"/>
          <w:b/>
          <w:color w:val="000000"/>
          <w:sz w:val="32"/>
          <w:szCs w:val="32"/>
        </w:rPr>
        <w:t>Income Generation from Estates &amp; Assets</w:t>
      </w:r>
    </w:p>
    <w:p w:rsidR="00D03350" w:rsidRDefault="00D03350">
      <w:pPr>
        <w:pBdr>
          <w:top w:val="nil"/>
          <w:left w:val="nil"/>
          <w:bottom w:val="nil"/>
          <w:right w:val="nil"/>
          <w:between w:val="nil"/>
        </w:pBdr>
        <w:jc w:val="center"/>
        <w:rPr>
          <w:rFonts w:ascii="Arial" w:eastAsia="Arial" w:hAnsi="Arial" w:cs="Arial"/>
          <w:b/>
          <w:color w:val="000000"/>
          <w:sz w:val="32"/>
          <w:szCs w:val="32"/>
        </w:rPr>
      </w:pPr>
    </w:p>
    <w:p w:rsidR="00D03350" w:rsidRDefault="00D76C9F">
      <w:pPr>
        <w:pBdr>
          <w:top w:val="nil"/>
          <w:left w:val="nil"/>
          <w:bottom w:val="nil"/>
          <w:right w:val="nil"/>
          <w:between w:val="nil"/>
        </w:pBdr>
        <w:jc w:val="center"/>
        <w:rPr>
          <w:rFonts w:ascii="Arial" w:eastAsia="Arial" w:hAnsi="Arial" w:cs="Arial"/>
          <w:b/>
          <w:color w:val="000000"/>
          <w:sz w:val="32"/>
          <w:szCs w:val="32"/>
        </w:rPr>
      </w:pPr>
      <w:r>
        <w:rPr>
          <w:rFonts w:ascii="Arial" w:eastAsia="Arial" w:hAnsi="Arial" w:cs="Arial"/>
          <w:b/>
          <w:color w:val="000000"/>
          <w:sz w:val="32"/>
          <w:szCs w:val="32"/>
        </w:rPr>
        <w:t>Framework Award Form</w:t>
      </w:r>
    </w:p>
    <w:p w:rsidR="00D03350" w:rsidRDefault="00D03350">
      <w:pPr>
        <w:pBdr>
          <w:top w:val="nil"/>
          <w:left w:val="nil"/>
          <w:bottom w:val="nil"/>
          <w:right w:val="nil"/>
          <w:between w:val="nil"/>
        </w:pBdr>
        <w:rPr>
          <w:rFonts w:ascii="Arial" w:eastAsia="Arial" w:hAnsi="Arial" w:cs="Arial"/>
          <w:b/>
          <w:color w:val="000000"/>
          <w:sz w:val="32"/>
          <w:szCs w:val="32"/>
        </w:rPr>
      </w:pP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This Framework Award Form creates the Framework Contract. It summarises the main features of the procurement and includes CCS and the Supplier’s contact details</w:t>
      </w:r>
    </w:p>
    <w:p w:rsidR="00D03350" w:rsidRDefault="00D03350">
      <w:pPr>
        <w:pBdr>
          <w:top w:val="nil"/>
          <w:left w:val="nil"/>
          <w:bottom w:val="nil"/>
          <w:right w:val="nil"/>
          <w:between w:val="nil"/>
        </w:pBdr>
        <w:rPr>
          <w:rFonts w:ascii="Arial" w:eastAsia="Arial" w:hAnsi="Arial" w:cs="Arial"/>
          <w:b/>
          <w:color w:val="000000"/>
        </w:rPr>
      </w:pPr>
    </w:p>
    <w:tbl>
      <w:tblPr>
        <w:tblStyle w:val="a5"/>
        <w:tblW w:w="9634"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1"/>
        <w:gridCol w:w="1980"/>
        <w:gridCol w:w="7193"/>
      </w:tblGrid>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CCS </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The Minister for the Cabinet Office represented by its executive agency the Crown Commercial Service (CCS).</w:t>
            </w: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Its offices are on: 9th Floor, The Capital, Old Hall Street, Liverpool L3 9PP.</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Name:                  [</w:t>
            </w:r>
            <w:r>
              <w:rPr>
                <w:rFonts w:ascii="Arial" w:eastAsia="Arial" w:hAnsi="Arial" w:cs="Arial"/>
                <w:b/>
                <w:color w:val="000000"/>
                <w:highlight w:val="yellow"/>
              </w:rPr>
              <w:t>Insert</w:t>
            </w:r>
            <w:r>
              <w:rPr>
                <w:rFonts w:ascii="Arial" w:eastAsia="Arial" w:hAnsi="Arial" w:cs="Arial"/>
                <w:color w:val="000000"/>
              </w:rPr>
              <w:t xml:space="preserve"> name (registered name if registered)]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Address:              [</w:t>
            </w:r>
            <w:r>
              <w:rPr>
                <w:rFonts w:ascii="Arial" w:eastAsia="Arial" w:hAnsi="Arial" w:cs="Arial"/>
                <w:b/>
                <w:color w:val="000000"/>
                <w:highlight w:val="yellow"/>
              </w:rPr>
              <w:t>Insert</w:t>
            </w:r>
            <w:r>
              <w:rPr>
                <w:rFonts w:ascii="Arial" w:eastAsia="Arial" w:hAnsi="Arial" w:cs="Arial"/>
                <w:color w:val="000000"/>
              </w:rPr>
              <w:t xml:space="preserve"> address registered address if registered]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Registration number:     [</w:t>
            </w:r>
            <w:r>
              <w:rPr>
                <w:rFonts w:ascii="Arial" w:eastAsia="Arial" w:hAnsi="Arial" w:cs="Arial"/>
                <w:b/>
                <w:color w:val="000000"/>
                <w:highlight w:val="yellow"/>
              </w:rPr>
              <w:t>Insert</w:t>
            </w:r>
            <w:r>
              <w:rPr>
                <w:rFonts w:ascii="Arial" w:eastAsia="Arial" w:hAnsi="Arial" w:cs="Arial"/>
                <w:color w:val="000000"/>
              </w:rPr>
              <w:t xml:space="preserve"> registration number if registered]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SID4GOV ID:                    [</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SID4GOV ID if you have one]</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Contract</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This Framework Contract between CCS and the Supplier allows the Supplier to be considered for Call-off Contracts to supply the Deliverables [</w:t>
            </w:r>
            <w:r>
              <w:rPr>
                <w:rFonts w:ascii="Arial" w:eastAsia="Arial" w:hAnsi="Arial" w:cs="Arial"/>
                <w:color w:val="000000"/>
                <w:highlight w:val="yellow"/>
              </w:rPr>
              <w:t>in Lot(s) [x, y</w:t>
            </w:r>
            <w:r>
              <w:rPr>
                <w:rFonts w:ascii="Arial" w:eastAsia="Arial" w:hAnsi="Arial" w:cs="Arial"/>
                <w:color w:val="000000"/>
              </w:rPr>
              <w:t>]. You cannot deliver in any other Lot under this contract. Any references made to other Lots in this contract do not apply.</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This opportunity is advertised in the Find a Tender Service Notice [</w:t>
            </w:r>
            <w:r>
              <w:rPr>
                <w:rFonts w:ascii="Arial" w:eastAsia="Arial" w:hAnsi="Arial" w:cs="Arial"/>
                <w:b/>
                <w:color w:val="000000"/>
                <w:highlight w:val="yellow"/>
              </w:rPr>
              <w:t>Insert</w:t>
            </w:r>
            <w:r>
              <w:rPr>
                <w:rFonts w:ascii="Arial" w:eastAsia="Arial" w:hAnsi="Arial" w:cs="Arial"/>
                <w:color w:val="000000"/>
              </w:rPr>
              <w:t xml:space="preserve"> reference number] (FTS Contract Notice).</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4</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Deliverables </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b/>
                <w:color w:val="000000"/>
                <w:highlight w:val="yellow"/>
              </w:rPr>
              <w:t>[Insert</w:t>
            </w:r>
            <w:r>
              <w:rPr>
                <w:rFonts w:ascii="Arial" w:eastAsia="Arial" w:hAnsi="Arial" w:cs="Arial"/>
                <w:color w:val="000000"/>
              </w:rPr>
              <w:t xml:space="preserve"> general description of the Deliverables, by Lot if relevant]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See Framework Schedule 1 (Specification) for further details.</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5</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Start Date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Day Month Year]</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6</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Expiry Date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Day Month Year]</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7</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Optional Extension Period</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Not applicable. </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8</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Order Procedure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rPr>
              <w:t xml:space="preserve">Further competition only. </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9</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Framework Incorporated Terms </w:t>
            </w:r>
          </w:p>
          <w:p w:rsidR="00D03350" w:rsidRDefault="00D03350">
            <w:pPr>
              <w:pBdr>
                <w:top w:val="nil"/>
                <w:left w:val="nil"/>
                <w:bottom w:val="nil"/>
                <w:right w:val="nil"/>
                <w:between w:val="nil"/>
              </w:pBdr>
              <w:rPr>
                <w:rFonts w:ascii="Arial" w:eastAsia="Arial" w:hAnsi="Arial" w:cs="Arial"/>
                <w:b/>
                <w:color w:val="000000"/>
                <w:sz w:val="22"/>
                <w:szCs w:val="22"/>
              </w:rPr>
            </w:pP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(together these documents form the ‘the Framework Contract’)</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The following documents are incorporated into the Framework Contract. Where numbers are missing we are not using these schedules. If the documents conflict, the following order of precedence applies:</w:t>
            </w:r>
          </w:p>
          <w:p w:rsidR="00D03350" w:rsidRDefault="00D76C9F">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This Framework Award Form</w:t>
            </w:r>
          </w:p>
          <w:p w:rsidR="00D03350" w:rsidRDefault="00D76C9F">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Any Framework Special Terms (see Section 10 ‘Framework Special Terms’ in this Framework Award Form)</w:t>
            </w:r>
          </w:p>
          <w:p w:rsidR="00D03350" w:rsidRDefault="00D76C9F">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Joint Schedule 1 (Definitions) [RM6349] </w:t>
            </w:r>
          </w:p>
          <w:p w:rsidR="00D03350" w:rsidRDefault="00D76C9F">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11 (Processing Data) [RM6349]</w:t>
            </w:r>
          </w:p>
          <w:p w:rsidR="00D03350" w:rsidRDefault="00D76C9F">
            <w:pPr>
              <w:numPr>
                <w:ilvl w:val="0"/>
                <w:numId w:val="1"/>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following Schedules for RM6349  (in equal order of precedence): </w:t>
            </w:r>
          </w:p>
          <w:p w:rsidR="00D03350" w:rsidRDefault="00D76C9F">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1 (Specification)</w:t>
            </w:r>
          </w:p>
          <w:p w:rsidR="00D03350" w:rsidRDefault="00D76C9F">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3 (Framework Prices)</w:t>
            </w:r>
          </w:p>
          <w:p w:rsidR="00D03350" w:rsidRDefault="00D76C9F">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Framework Schedule 4 (Framework Management) </w:t>
            </w:r>
          </w:p>
          <w:p w:rsidR="00D03350" w:rsidRDefault="00D76C9F">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5 (Management Charges and Information)</w:t>
            </w:r>
          </w:p>
          <w:p w:rsidR="00D03350" w:rsidRDefault="00D76C9F">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Framework Schedule 6 (Order Form Template and Call-Off Schedules) including the following template Call-Off Schedules: </w:t>
            </w:r>
          </w:p>
          <w:p w:rsidR="00D03350" w:rsidRDefault="00D03350">
            <w:pPr>
              <w:pBdr>
                <w:top w:val="nil"/>
                <w:left w:val="nil"/>
                <w:bottom w:val="nil"/>
                <w:right w:val="nil"/>
                <w:between w:val="nil"/>
              </w:pBdr>
              <w:ind w:left="413"/>
              <w:rPr>
                <w:rFonts w:ascii="Arial" w:eastAsia="Arial" w:hAnsi="Arial" w:cs="Arial"/>
                <w:color w:val="000000"/>
              </w:rPr>
            </w:pPr>
          </w:p>
          <w:p w:rsidR="00D03350" w:rsidRDefault="00D76C9F">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1 (Transparency Reports)</w:t>
            </w:r>
          </w:p>
          <w:p w:rsidR="00D03350" w:rsidRDefault="00D76C9F">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2 (Staff Transfer)</w:t>
            </w:r>
          </w:p>
          <w:p w:rsidR="00D03350" w:rsidRDefault="00D76C9F">
            <w:pPr>
              <w:numPr>
                <w:ilvl w:val="0"/>
                <w:numId w:val="4"/>
              </w:numPr>
              <w:pBdr>
                <w:top w:val="nil"/>
                <w:left w:val="nil"/>
                <w:bottom w:val="nil"/>
                <w:right w:val="nil"/>
                <w:between w:val="nil"/>
              </w:pBdr>
              <w:rPr>
                <w:rFonts w:ascii="Arial" w:eastAsia="Arial" w:hAnsi="Arial" w:cs="Arial"/>
                <w:color w:val="000000"/>
              </w:rPr>
            </w:pPr>
            <w:r>
              <w:rPr>
                <w:rFonts w:ascii="Arial" w:eastAsia="Arial" w:hAnsi="Arial" w:cs="Arial"/>
                <w:color w:val="000000"/>
              </w:rPr>
              <w:t>Call-Off Schedule 3 (Continuous Improvement)</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4 (Call-Off Tender)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5 (Pricing Details)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6 (ICT Services)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7 (Key Supplier Staff)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8 (Business Continuity and Disaster Recovery)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9 (Security)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10 (Exit Management)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12 (Clustering)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13 (Implementation Plan and Testing)]</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14 (Service Levels)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15 (Call-Off Contract Management)]</w:t>
            </w:r>
          </w:p>
          <w:p w:rsidR="00D03350" w:rsidRDefault="00D76C9F">
            <w:pPr>
              <w:numPr>
                <w:ilvl w:val="0"/>
                <w:numId w:val="4"/>
              </w:numPr>
              <w:pBdr>
                <w:top w:val="nil"/>
                <w:left w:val="nil"/>
                <w:bottom w:val="nil"/>
                <w:right w:val="nil"/>
                <w:between w:val="nil"/>
              </w:pBdr>
              <w:rPr>
                <w:color w:val="000000"/>
                <w:highlight w:val="yellow"/>
              </w:rPr>
            </w:pPr>
            <w:r>
              <w:rPr>
                <w:rFonts w:ascii="Arial" w:eastAsia="Arial" w:hAnsi="Arial" w:cs="Arial"/>
                <w:color w:val="000000"/>
                <w:highlight w:val="yellow"/>
              </w:rPr>
              <w:t>[Call-Off Schedule 17 (MOD Terms)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18 (Background Checks)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19 (Scottish Law)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20 (Call-Off Specification)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21 (Northern Ireland Law)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23 (HMRC Terms) ]</w:t>
            </w:r>
          </w:p>
          <w:p w:rsidR="00D03350" w:rsidRDefault="00D76C9F">
            <w:pPr>
              <w:numPr>
                <w:ilvl w:val="0"/>
                <w:numId w:val="4"/>
              </w:num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[Call-Off Schedule 24 (Corporate Resolution Planning)]</w:t>
            </w:r>
          </w:p>
          <w:p w:rsidR="00D03350" w:rsidRDefault="00D76C9F">
            <w:pPr>
              <w:numPr>
                <w:ilvl w:val="0"/>
                <w:numId w:val="4"/>
              </w:numPr>
              <w:pBdr>
                <w:top w:val="nil"/>
                <w:left w:val="nil"/>
                <w:bottom w:val="nil"/>
                <w:right w:val="nil"/>
                <w:between w:val="nil"/>
              </w:pBdr>
              <w:rPr>
                <w:rFonts w:ascii="Arial" w:eastAsia="Arial" w:hAnsi="Arial" w:cs="Arial"/>
                <w:highlight w:val="yellow"/>
              </w:rPr>
            </w:pPr>
            <w:r>
              <w:rPr>
                <w:rFonts w:ascii="Arial" w:eastAsia="Arial" w:hAnsi="Arial" w:cs="Arial"/>
                <w:highlight w:val="yellow"/>
              </w:rPr>
              <w:t>[Call-Off Schedule 25 (Special Schedule – Lots 1 to 4)]</w:t>
            </w:r>
          </w:p>
          <w:p w:rsidR="00D03350" w:rsidRDefault="00D76C9F">
            <w:pPr>
              <w:numPr>
                <w:ilvl w:val="0"/>
                <w:numId w:val="4"/>
              </w:numPr>
              <w:pBdr>
                <w:top w:val="nil"/>
                <w:left w:val="nil"/>
                <w:bottom w:val="nil"/>
                <w:right w:val="nil"/>
                <w:between w:val="nil"/>
              </w:pBdr>
              <w:rPr>
                <w:rFonts w:ascii="Arial" w:eastAsia="Arial" w:hAnsi="Arial" w:cs="Arial"/>
                <w:highlight w:val="yellow"/>
              </w:rPr>
            </w:pPr>
            <w:r>
              <w:rPr>
                <w:rFonts w:ascii="Arial" w:eastAsia="Arial" w:hAnsi="Arial" w:cs="Arial"/>
                <w:highlight w:val="yellow"/>
              </w:rPr>
              <w:t xml:space="preserve">[Call-Off </w:t>
            </w:r>
            <w:r>
              <w:rPr>
                <w:rFonts w:ascii="Arial" w:eastAsia="Arial" w:hAnsi="Arial" w:cs="Arial"/>
                <w:color w:val="000000"/>
                <w:highlight w:val="yellow"/>
              </w:rPr>
              <w:t>Schedule</w:t>
            </w:r>
            <w:r>
              <w:rPr>
                <w:rFonts w:ascii="Arial" w:eastAsia="Arial" w:hAnsi="Arial" w:cs="Arial"/>
                <w:highlight w:val="yellow"/>
              </w:rPr>
              <w:t xml:space="preserve"> 26 (Special Schedule – Lot 5)]</w:t>
            </w:r>
          </w:p>
          <w:p w:rsidR="00D03350" w:rsidRDefault="00D03350">
            <w:pPr>
              <w:pBdr>
                <w:top w:val="nil"/>
                <w:left w:val="nil"/>
                <w:bottom w:val="nil"/>
                <w:right w:val="nil"/>
                <w:between w:val="nil"/>
              </w:pBdr>
              <w:spacing w:line="259" w:lineRule="auto"/>
              <w:ind w:left="1440"/>
              <w:rPr>
                <w:rFonts w:ascii="Arial" w:eastAsia="Arial" w:hAnsi="Arial" w:cs="Arial"/>
                <w:highlight w:val="yellow"/>
              </w:rPr>
            </w:pP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7 (Call-Off Award Procedure)</w:t>
            </w: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Framework Schedule 8 (Self Audit Certificate)</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[Framework Schedule 9 (Cyber Essentials Scheme)</w:t>
            </w: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Joint Schedule 2 (Variation Form) </w:t>
            </w: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Joint Schedule 3 (Insurance Requirements) </w:t>
            </w: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4 (Commercially Sensitive Information)</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[Joint Schedule 6 (Key Subcontractors)]</w:t>
            </w:r>
            <w:r>
              <w:rPr>
                <w:rFonts w:ascii="Arial" w:eastAsia="Arial" w:hAnsi="Arial" w:cs="Arial"/>
                <w:color w:val="000000"/>
              </w:rPr>
              <w:t xml:space="preserve"> </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[Joint Schedule 7 (Financial Difficulties)]</w:t>
            </w:r>
            <w:r>
              <w:rPr>
                <w:rFonts w:ascii="Arial" w:eastAsia="Arial" w:hAnsi="Arial" w:cs="Arial"/>
                <w:color w:val="000000"/>
              </w:rPr>
              <w:t xml:space="preserve"> </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[Joint Schedule 8 (Guarantee)]</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[Joint Schedule 9 (Minimum Standards of Reliability)]</w:t>
            </w:r>
          </w:p>
          <w:p w:rsidR="00D03350" w:rsidRDefault="00D76C9F">
            <w:pPr>
              <w:numPr>
                <w:ilvl w:val="0"/>
                <w:numId w:val="5"/>
              </w:numPr>
              <w:pBdr>
                <w:top w:val="nil"/>
                <w:left w:val="nil"/>
                <w:bottom w:val="nil"/>
                <w:right w:val="nil"/>
                <w:between w:val="nil"/>
              </w:pBdr>
              <w:rPr>
                <w:rFonts w:ascii="Arial" w:eastAsia="Arial" w:hAnsi="Arial" w:cs="Arial"/>
                <w:color w:val="000000"/>
              </w:rPr>
            </w:pPr>
            <w:r>
              <w:rPr>
                <w:rFonts w:ascii="Arial" w:eastAsia="Arial" w:hAnsi="Arial" w:cs="Arial"/>
                <w:color w:val="000000"/>
              </w:rPr>
              <w:t>Joint Schedule 10 (Rectification Plan)</w:t>
            </w:r>
          </w:p>
          <w:p w:rsidR="00D03350" w:rsidRDefault="00D76C9F">
            <w:pPr>
              <w:numPr>
                <w:ilvl w:val="0"/>
                <w:numId w:val="5"/>
              </w:numPr>
              <w:pBdr>
                <w:top w:val="nil"/>
                <w:left w:val="nil"/>
                <w:bottom w:val="nil"/>
                <w:right w:val="nil"/>
                <w:between w:val="nil"/>
              </w:pBdr>
              <w:rPr>
                <w:color w:val="000000"/>
              </w:rPr>
            </w:pPr>
            <w:r>
              <w:rPr>
                <w:rFonts w:ascii="Arial" w:eastAsia="Arial" w:hAnsi="Arial" w:cs="Arial"/>
                <w:color w:val="000000"/>
                <w:highlight w:val="yellow"/>
              </w:rPr>
              <w:t>[Joint Schedule 12 (Supply Chain Visibility)]</w:t>
            </w: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6. CCS Core Terms (version 3.0.11) </w:t>
            </w:r>
          </w:p>
          <w:p w:rsidR="00D03350" w:rsidRDefault="00D76C9F">
            <w:pPr>
              <w:pBdr>
                <w:top w:val="nil"/>
                <w:left w:val="nil"/>
                <w:bottom w:val="nil"/>
                <w:right w:val="nil"/>
                <w:between w:val="nil"/>
              </w:pBdr>
              <w:rPr>
                <w:color w:val="000000"/>
              </w:rPr>
            </w:pPr>
            <w:r>
              <w:rPr>
                <w:rFonts w:ascii="Arial" w:eastAsia="Arial" w:hAnsi="Arial" w:cs="Arial"/>
                <w:color w:val="000000"/>
              </w:rPr>
              <w:t xml:space="preserve">7. Joint Schedule 5 (Corporate Social Responsibility) [RM6349] </w:t>
            </w:r>
          </w:p>
          <w:p w:rsidR="00D03350" w:rsidRDefault="00D76C9F">
            <w:pPr>
              <w:pBdr>
                <w:top w:val="nil"/>
                <w:left w:val="nil"/>
                <w:bottom w:val="nil"/>
                <w:right w:val="nil"/>
                <w:between w:val="nil"/>
              </w:pBdr>
              <w:rPr>
                <w:color w:val="000000"/>
              </w:rPr>
            </w:pPr>
            <w:r>
              <w:rPr>
                <w:rFonts w:ascii="Arial" w:eastAsia="Arial" w:hAnsi="Arial" w:cs="Arial"/>
                <w:color w:val="000000"/>
              </w:rPr>
              <w:t xml:space="preserve">8. Framework Schedule 2 (Framework Tender) [RM6349] as long as any part of the Framework Tender that offers a better commercial position for CCS or Buyers (as decided by CCS) take precedence over the documents above </w:t>
            </w:r>
          </w:p>
          <w:p w:rsidR="00D03350" w:rsidRDefault="00D03350">
            <w:pPr>
              <w:pBdr>
                <w:top w:val="nil"/>
                <w:left w:val="nil"/>
                <w:bottom w:val="nil"/>
                <w:right w:val="nil"/>
                <w:between w:val="nil"/>
              </w:pBdr>
              <w:rPr>
                <w:rFonts w:ascii="Arial" w:eastAsia="Arial" w:hAnsi="Arial" w:cs="Arial"/>
                <w:color w:val="000000"/>
              </w:rPr>
            </w:pPr>
          </w:p>
        </w:tc>
      </w:tr>
      <w:tr w:rsidR="00D03350" w:rsidTr="00086F83">
        <w:trPr>
          <w:trHeight w:val="1058"/>
        </w:trPr>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10</w:t>
            </w:r>
          </w:p>
        </w:tc>
        <w:tc>
          <w:tcPr>
            <w:tcW w:w="1980" w:type="dxa"/>
            <w:vMerge w:val="restart"/>
            <w:tcBorders>
              <w:top w:val="single" w:sz="4" w:space="0" w:color="000000"/>
              <w:left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Special Terms</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rPr>
            </w:pPr>
            <w:r>
              <w:rPr>
                <w:rFonts w:ascii="Arial" w:eastAsia="Arial" w:hAnsi="Arial" w:cs="Arial"/>
                <w:b/>
                <w:highlight w:val="yellow"/>
              </w:rPr>
              <w:t>[Guidance note: the following Section 10 (Framework Special Terms) shall be read in conjunction with the Core Terms. In accordance with Joint Schedule 1 (Definitions), references to "Clauses" and "Schedules" shall mean the clauses and schedules of the Core Terms, and any references to "Paragraphs" are references to the paragraph of the appropriate Schedule.]</w:t>
            </w:r>
            <w:r>
              <w:rPr>
                <w:rFonts w:ascii="Arial" w:eastAsia="Arial" w:hAnsi="Arial" w:cs="Arial"/>
                <w:b/>
              </w:rPr>
              <w:t xml:space="preserve"> </w:t>
            </w:r>
          </w:p>
          <w:p w:rsidR="00D03350" w:rsidRDefault="00D03350">
            <w:pPr>
              <w:pBdr>
                <w:top w:val="nil"/>
                <w:left w:val="nil"/>
                <w:bottom w:val="nil"/>
                <w:right w:val="nil"/>
                <w:between w:val="nil"/>
              </w:pBdr>
              <w:rPr>
                <w:rFonts w:ascii="Arial" w:eastAsia="Arial" w:hAnsi="Arial" w:cs="Arial"/>
                <w:b/>
              </w:rPr>
            </w:pPr>
          </w:p>
          <w:p w:rsidR="00D03350" w:rsidRDefault="00D76C9F">
            <w:pPr>
              <w:pBdr>
                <w:top w:val="nil"/>
                <w:left w:val="nil"/>
                <w:bottom w:val="nil"/>
                <w:right w:val="nil"/>
                <w:between w:val="nil"/>
              </w:pBdr>
              <w:rPr>
                <w:rFonts w:ascii="Arial" w:eastAsia="Arial" w:hAnsi="Arial" w:cs="Arial"/>
              </w:rPr>
            </w:pPr>
            <w:r>
              <w:rPr>
                <w:rFonts w:ascii="Arial" w:eastAsia="Arial" w:hAnsi="Arial" w:cs="Arial"/>
              </w:rPr>
              <w:t>The following Clauses in the Core Terms shall be deleted and replaced as follows:</w:t>
            </w:r>
          </w:p>
          <w:p w:rsidR="00D03350" w:rsidRDefault="00D03350">
            <w:pPr>
              <w:pBdr>
                <w:top w:val="nil"/>
                <w:left w:val="nil"/>
                <w:bottom w:val="nil"/>
                <w:right w:val="nil"/>
                <w:between w:val="nil"/>
              </w:pBdr>
              <w:rPr>
                <w:rFonts w:ascii="Arial" w:eastAsia="Arial" w:hAnsi="Arial" w:cs="Arial"/>
              </w:rPr>
            </w:pP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1 – Clause 3.3.1: Late Delivery of the Services may constitute a Default of a Call-Off Contract at the Buyer's discretion.</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2 – Clause 4.9: If the Buyer can get more favourable commercial terms for the supply at cost of any materials, goods or services used by the Supplier to provide the Deliverables, then the Buyer may require the Supplier to replace its existing commercial terms with the more favourable terms offered for the relevant items, </w:t>
            </w:r>
            <w:r>
              <w:rPr>
                <w:rFonts w:ascii="Arial" w:eastAsia="Arial" w:hAnsi="Arial" w:cs="Arial"/>
                <w:color w:val="000000"/>
              </w:rPr>
              <w:lastRenderedPageBreak/>
              <w:t>provided that the Deliverables comply with the Specification.</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3 – Clause 10.1.2: The Relevant Authority can extend the Contract for the Extension Period by giving the Supplier no less than 6 Months' written notice before the Contract expires.</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4 – Clause 10.2.1: CCS has the right to terminate the Framework Contract at any time without reason by giving the Supplier at least 90 days' notice. </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b/>
                <w:i/>
                <w:color w:val="000000"/>
                <w:highlight w:val="yellow"/>
              </w:rPr>
              <w:t>[Guidance Note: if CCS exercises its right under Clause 10.2.1 to terminate the Framework Contract, existing Call-Off Contracts that were awarded before the Framework Contract was terminated will remain in force.]</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rPr>
            </w:pPr>
            <w:r>
              <w:rPr>
                <w:rFonts w:ascii="Arial" w:eastAsia="Arial" w:hAnsi="Arial" w:cs="Arial"/>
                <w:color w:val="000000"/>
              </w:rPr>
              <w:t>Special Term 5 – Clause 10.2.2: Each Buyer has the right to terminate its Call-Off Contract at any time without reason after the first anniversary of the Call-Off Contract, by giving the Supplier not less than 18 months' written notice.</w:t>
            </w:r>
          </w:p>
          <w:p w:rsidR="00D03350" w:rsidRDefault="00D76C9F">
            <w:pPr>
              <w:pBdr>
                <w:top w:val="nil"/>
                <w:left w:val="nil"/>
                <w:bottom w:val="nil"/>
                <w:right w:val="nil"/>
                <w:between w:val="nil"/>
              </w:pBdr>
              <w:spacing w:after="200" w:line="276" w:lineRule="auto"/>
              <w:rPr>
                <w:rFonts w:ascii="Arial" w:eastAsia="Arial" w:hAnsi="Arial" w:cs="Arial"/>
              </w:rPr>
            </w:pPr>
            <w:r>
              <w:rPr>
                <w:rFonts w:ascii="Arial" w:eastAsia="Arial" w:hAnsi="Arial" w:cs="Arial"/>
              </w:rPr>
              <w:t>The following clauses shall be inserted into the Core Terms:</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6 – Clause 10.4.4: The Buyer may terminate a Call-Off Contract or a Service by written notice to the Supplier with immediate effect if the Supplier:   </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(a) repeatedly breaches any of the terms and conditions of the Call-Off Contract in such a manner as to indicate that it does not have the intention or ability to adhere to the Call-Off Contract; or</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 xml:space="preserve">(b) </w:t>
            </w:r>
            <w:proofErr w:type="gramStart"/>
            <w:r>
              <w:rPr>
                <w:rFonts w:ascii="Arial" w:eastAsia="Arial" w:hAnsi="Arial" w:cs="Arial"/>
                <w:color w:val="000000"/>
              </w:rPr>
              <w:t>fails</w:t>
            </w:r>
            <w:proofErr w:type="gramEnd"/>
            <w:r>
              <w:rPr>
                <w:rFonts w:ascii="Arial" w:eastAsia="Arial" w:hAnsi="Arial" w:cs="Arial"/>
                <w:color w:val="000000"/>
              </w:rPr>
              <w:t xml:space="preserve"> to comply with its legal obligations. </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7 – Clause 10.4.5: The Buyer may issue a Reminder Notice if the Supplier does not pay the agreed payments under the Call-Off Contract on time. The Buyer can terminate a Call-Off Contract if the Supplier fails to pay the agreed undisputed payments due and worth over 10% </w:t>
            </w:r>
            <w:r>
              <w:rPr>
                <w:rFonts w:ascii="Arial" w:eastAsia="Arial" w:hAnsi="Arial" w:cs="Arial"/>
                <w:color w:val="000000"/>
              </w:rPr>
              <w:lastRenderedPageBreak/>
              <w:t>of the annual Contract Value within 30 days of the date of the Reminder Notice.</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8: Clause 10.6.1(g): The Supplier and its staff will vacate any premises of the Buyer occupied for any purpose of providing the Services.</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 xml:space="preserve">Special Term </w:t>
            </w:r>
            <w:r w:rsidR="00086F83">
              <w:rPr>
                <w:rFonts w:ascii="Arial" w:eastAsia="Arial" w:hAnsi="Arial" w:cs="Arial"/>
                <w:color w:val="000000"/>
              </w:rPr>
              <w:t>9</w:t>
            </w:r>
            <w:r>
              <w:rPr>
                <w:rFonts w:ascii="Arial" w:eastAsia="Arial" w:hAnsi="Arial" w:cs="Arial"/>
                <w:color w:val="000000"/>
              </w:rPr>
              <w:t xml:space="preserve"> – Clause 23.7: Notwithstanding any consent given by the Relevant Authority under Clause 23.1, the Supplier:</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(a) will not be relieved of any of its liabilities or obligations under the Contract due to entering into any Sub-Contracts of its obligations;</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(b) will be liable to the Relevant Authority for the acts, omissions, defaults or negligence of each Subcontractor and their personnel as fully as if they were the acts, omissions, defaults or negligence of the Supplier; and</w:t>
            </w:r>
          </w:p>
          <w:p w:rsidR="00D03350" w:rsidRDefault="00D76C9F">
            <w:pPr>
              <w:pBdr>
                <w:top w:val="nil"/>
                <w:left w:val="nil"/>
                <w:bottom w:val="nil"/>
                <w:right w:val="nil"/>
                <w:between w:val="nil"/>
              </w:pBdr>
              <w:spacing w:after="200" w:line="276" w:lineRule="auto"/>
              <w:ind w:left="720"/>
              <w:rPr>
                <w:rFonts w:ascii="Arial" w:eastAsia="Arial" w:hAnsi="Arial" w:cs="Arial"/>
                <w:color w:val="000000"/>
              </w:rPr>
            </w:pPr>
            <w:r>
              <w:rPr>
                <w:rFonts w:ascii="Arial" w:eastAsia="Arial" w:hAnsi="Arial" w:cs="Arial"/>
                <w:color w:val="000000"/>
              </w:rPr>
              <w:t>(</w:t>
            </w:r>
            <w:proofErr w:type="gramStart"/>
            <w:r>
              <w:rPr>
                <w:rFonts w:ascii="Arial" w:eastAsia="Arial" w:hAnsi="Arial" w:cs="Arial"/>
                <w:color w:val="000000"/>
              </w:rPr>
              <w:t>c</w:t>
            </w:r>
            <w:proofErr w:type="gramEnd"/>
            <w:r>
              <w:rPr>
                <w:rFonts w:ascii="Arial" w:eastAsia="Arial" w:hAnsi="Arial" w:cs="Arial"/>
                <w:color w:val="000000"/>
              </w:rPr>
              <w:t>) acknowledges that a Subcontractor’s failure to perform does not excuse its failure to perform any part of the Contract.</w:t>
            </w:r>
          </w:p>
          <w:p w:rsidR="00D03350" w:rsidRDefault="00D76C9F">
            <w:pPr>
              <w:numPr>
                <w:ilvl w:val="0"/>
                <w:numId w:val="3"/>
              </w:numPr>
              <w:pBdr>
                <w:top w:val="nil"/>
                <w:left w:val="nil"/>
                <w:bottom w:val="nil"/>
                <w:right w:val="nil"/>
                <w:between w:val="nil"/>
              </w:pBdr>
              <w:spacing w:after="200" w:line="276" w:lineRule="auto"/>
              <w:rPr>
                <w:rFonts w:ascii="Arial" w:eastAsia="Arial" w:hAnsi="Arial" w:cs="Arial"/>
                <w:color w:val="000000"/>
              </w:rPr>
            </w:pPr>
            <w:r>
              <w:rPr>
                <w:rFonts w:ascii="Arial" w:eastAsia="Arial" w:hAnsi="Arial" w:cs="Arial"/>
                <w:color w:val="000000"/>
              </w:rPr>
              <w:t>Special Term 1</w:t>
            </w:r>
            <w:r w:rsidR="00086F83">
              <w:rPr>
                <w:rFonts w:ascii="Arial" w:eastAsia="Arial" w:hAnsi="Arial" w:cs="Arial"/>
                <w:color w:val="000000"/>
              </w:rPr>
              <w:t>0</w:t>
            </w:r>
            <w:r>
              <w:rPr>
                <w:rFonts w:ascii="Arial" w:eastAsia="Arial" w:hAnsi="Arial" w:cs="Arial"/>
                <w:color w:val="000000"/>
              </w:rPr>
              <w:t xml:space="preserve"> – Clause 26.8: The Supplier shall indemnify the Buyer against all direct third party claims in the event that the Supplier is in breach of this Call-Off Contract or performed any obligations negligently.</w:t>
            </w:r>
          </w:p>
          <w:p w:rsidR="00D03350" w:rsidRPr="002D51E5" w:rsidRDefault="00D76C9F" w:rsidP="00086F83">
            <w:pPr>
              <w:numPr>
                <w:ilvl w:val="0"/>
                <w:numId w:val="3"/>
              </w:numPr>
              <w:pBdr>
                <w:top w:val="nil"/>
                <w:left w:val="nil"/>
                <w:bottom w:val="nil"/>
                <w:right w:val="nil"/>
                <w:between w:val="nil"/>
              </w:pBdr>
              <w:spacing w:after="200" w:line="276" w:lineRule="auto"/>
              <w:rPr>
                <w:rFonts w:ascii="Arial" w:eastAsia="Arial" w:hAnsi="Arial" w:cs="Arial"/>
                <w:color w:val="000000"/>
              </w:rPr>
            </w:pPr>
            <w:bookmarkStart w:id="0" w:name="_heading=h.gjdgxs" w:colFirst="0" w:colLast="0"/>
            <w:bookmarkEnd w:id="0"/>
            <w:r>
              <w:rPr>
                <w:rFonts w:ascii="Arial" w:eastAsia="Arial" w:hAnsi="Arial" w:cs="Arial"/>
                <w:color w:val="000000"/>
              </w:rPr>
              <w:t>Special Term 1</w:t>
            </w:r>
            <w:r w:rsidR="00086F83">
              <w:rPr>
                <w:rFonts w:ascii="Arial" w:eastAsia="Arial" w:hAnsi="Arial" w:cs="Arial"/>
                <w:color w:val="000000"/>
              </w:rPr>
              <w:t>1</w:t>
            </w:r>
            <w:r>
              <w:rPr>
                <w:rFonts w:ascii="Arial" w:eastAsia="Arial" w:hAnsi="Arial" w:cs="Arial"/>
                <w:color w:val="000000"/>
              </w:rPr>
              <w:t xml:space="preserve"> – Clause 26.9: If a payment due from the Supplier under this Clause 26.9 is subject to tax (whether by way of direct assessment or withholding at its source), the Buyer shall be entitled to receive from the Supplier such amounts as shall ensure that the net receipt, after tax, to the Buyer in respect of the payment is the same as it would have been were the payment not subject to tax.</w:t>
            </w:r>
          </w:p>
        </w:tc>
      </w:tr>
      <w:tr w:rsidR="00D03350">
        <w:trPr>
          <w:trHeight w:val="1042"/>
        </w:trPr>
        <w:tc>
          <w:tcPr>
            <w:tcW w:w="461" w:type="dxa"/>
            <w:tcBorders>
              <w:top w:val="single" w:sz="4" w:space="0" w:color="000000"/>
              <w:left w:val="single" w:sz="4" w:space="0" w:color="000000"/>
              <w:right w:val="single" w:sz="4" w:space="0" w:color="000000"/>
            </w:tcBorders>
            <w:shd w:val="clear" w:color="auto" w:fill="auto"/>
          </w:tcPr>
          <w:p w:rsidR="00D03350" w:rsidRDefault="00D03350">
            <w:pPr>
              <w:pBdr>
                <w:top w:val="nil"/>
                <w:left w:val="nil"/>
                <w:bottom w:val="nil"/>
                <w:right w:val="nil"/>
                <w:between w:val="nil"/>
              </w:pBdr>
              <w:rPr>
                <w:rFonts w:ascii="Arial" w:eastAsia="Arial" w:hAnsi="Arial" w:cs="Arial"/>
                <w:b/>
                <w:color w:val="000000"/>
                <w:sz w:val="22"/>
                <w:szCs w:val="22"/>
              </w:rPr>
            </w:pPr>
          </w:p>
        </w:tc>
        <w:tc>
          <w:tcPr>
            <w:tcW w:w="1980" w:type="dxa"/>
            <w:vMerge/>
            <w:tcBorders>
              <w:top w:val="single" w:sz="4" w:space="0" w:color="000000"/>
              <w:left w:val="single" w:sz="4" w:space="0" w:color="000000"/>
              <w:right w:val="single" w:sz="4" w:space="0" w:color="000000"/>
            </w:tcBorders>
            <w:shd w:val="clear" w:color="auto" w:fill="auto"/>
          </w:tcPr>
          <w:p w:rsidR="00D03350" w:rsidRDefault="00D03350">
            <w:pPr>
              <w:widowControl w:val="0"/>
              <w:pBdr>
                <w:top w:val="nil"/>
                <w:left w:val="nil"/>
                <w:bottom w:val="nil"/>
                <w:right w:val="nil"/>
                <w:between w:val="nil"/>
              </w:pBdr>
              <w:spacing w:line="276" w:lineRule="auto"/>
              <w:rPr>
                <w:rFonts w:ascii="Arial" w:eastAsia="Arial" w:hAnsi="Arial" w:cs="Arial"/>
                <w:b/>
                <w:color w:val="000000"/>
                <w:sz w:val="22"/>
                <w:szCs w:val="22"/>
              </w:rPr>
            </w:pPr>
          </w:p>
        </w:tc>
        <w:tc>
          <w:tcPr>
            <w:tcW w:w="7193" w:type="dxa"/>
            <w:vMerge/>
            <w:tcBorders>
              <w:top w:val="single" w:sz="4" w:space="0" w:color="000000"/>
              <w:left w:val="single" w:sz="4" w:space="0" w:color="000000"/>
              <w:bottom w:val="single" w:sz="4" w:space="0" w:color="000000"/>
              <w:right w:val="single" w:sz="4" w:space="0" w:color="000000"/>
            </w:tcBorders>
            <w:shd w:val="clear" w:color="auto" w:fill="auto"/>
          </w:tcPr>
          <w:p w:rsidR="00D03350" w:rsidRDefault="00D03350">
            <w:pPr>
              <w:widowControl w:val="0"/>
              <w:pBdr>
                <w:top w:val="nil"/>
                <w:left w:val="nil"/>
                <w:bottom w:val="nil"/>
                <w:right w:val="nil"/>
                <w:between w:val="nil"/>
              </w:pBdr>
              <w:spacing w:line="276" w:lineRule="auto"/>
              <w:rPr>
                <w:rFonts w:ascii="Arial" w:eastAsia="Arial" w:hAnsi="Arial" w:cs="Arial"/>
                <w:b/>
                <w:color w:val="000000"/>
                <w:sz w:val="22"/>
                <w:szCs w:val="22"/>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Framework Prices</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There are no Framework Prices held at framework level for the purposes of this Framework Agreement.</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Details of the available pricing mechanisms for Call-Off Contracts are set out in Framework Schedule 3 (Framework Prices)</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Insurance</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Details in Annex of Joint Schedule 3 (Insurance Requirements).</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13</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Cyber Essentials Certification</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Cyber Essentials Scheme Basic Certificate (or equivalent, including IASME certified equivalents). Details in Framework Schedule 9 (Cyber Essentials Scheme)</w:t>
            </w:r>
          </w:p>
          <w:p w:rsidR="00D03350" w:rsidRDefault="00D03350">
            <w:pPr>
              <w:pBdr>
                <w:top w:val="nil"/>
                <w:left w:val="nil"/>
                <w:bottom w:val="nil"/>
                <w:right w:val="nil"/>
                <w:between w:val="nil"/>
              </w:pBdr>
              <w:rPr>
                <w:rFonts w:ascii="Arial" w:eastAsia="Arial" w:hAnsi="Arial" w:cs="Arial"/>
                <w:b/>
                <w:color w:val="000000"/>
              </w:rPr>
            </w:pPr>
          </w:p>
        </w:tc>
      </w:tr>
      <w:tr w:rsidR="00D03350">
        <w:trPr>
          <w:trHeight w:val="5172"/>
        </w:trPr>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14</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Management Charge</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The Management Charge shall be payable where the Supplier has reported retained income or spend in each Month throughout the Contract Period and thereafter until the expiry or earlier termination of all Call-Off Contracts entered into pursuant to this Framework Contract. The Management Charge shall be calculated as follows:</w:t>
            </w:r>
          </w:p>
          <w:p w:rsidR="00D03350" w:rsidRDefault="00D76C9F">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Lots 1 to 4</w:t>
            </w:r>
          </w:p>
          <w:p w:rsidR="00D03350" w:rsidRDefault="00D76C9F">
            <w:pPr>
              <w:pBdr>
                <w:top w:val="nil"/>
                <w:left w:val="nil"/>
                <w:bottom w:val="nil"/>
                <w:right w:val="nil"/>
                <w:between w:val="nil"/>
              </w:pBdr>
              <w:tabs>
                <w:tab w:val="left" w:pos="1134"/>
              </w:tabs>
              <w:spacing w:before="120" w:after="120"/>
              <w:jc w:val="both"/>
              <w:rPr>
                <w:rFonts w:ascii="Arial" w:eastAsia="Arial" w:hAnsi="Arial" w:cs="Arial"/>
                <w:color w:val="000000"/>
              </w:rPr>
            </w:pPr>
            <w:r>
              <w:rPr>
                <w:rFonts w:ascii="Arial" w:eastAsia="Arial" w:hAnsi="Arial" w:cs="Arial"/>
                <w:color w:val="000000"/>
              </w:rPr>
              <w:t xml:space="preserve">If the Supplier is appointed under Lots 1, 2, 3 and/or 4, the Supplier is required to pay, in respect of each Month, a Management Fee that is equal to 0.5% of the Supplier Amount (as defined in Call-Off Schedule 5) that been retained by the Supplier in respect of that Month under all Call-Off Contracts that have been awarded to the Supplier under Lots 1 to 4. </w:t>
            </w:r>
          </w:p>
          <w:p w:rsidR="00D03350" w:rsidRDefault="00D76C9F">
            <w:p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Lot 5</w:t>
            </w:r>
          </w:p>
          <w:p w:rsidR="00D03350" w:rsidRDefault="00D76C9F">
            <w:pPr>
              <w:pBdr>
                <w:top w:val="nil"/>
                <w:left w:val="nil"/>
                <w:bottom w:val="nil"/>
                <w:right w:val="nil"/>
                <w:between w:val="nil"/>
              </w:pBdr>
              <w:tabs>
                <w:tab w:val="left" w:pos="1985"/>
                <w:tab w:val="left" w:pos="2127"/>
              </w:tabs>
              <w:spacing w:before="120" w:after="120"/>
              <w:jc w:val="both"/>
              <w:rPr>
                <w:rFonts w:ascii="Arial" w:eastAsia="Arial" w:hAnsi="Arial" w:cs="Arial"/>
                <w:color w:val="000000"/>
              </w:rPr>
            </w:pPr>
            <w:r>
              <w:rPr>
                <w:rFonts w:ascii="Arial" w:eastAsia="Arial" w:hAnsi="Arial" w:cs="Arial"/>
                <w:color w:val="000000"/>
              </w:rPr>
              <w:t>If the Supplier is appointed under Lot 5, the Supplier is required to pay, in respect of each Month, a Management Fee that is equal to 0.5% of the total amount of the Charges (exclusive of VAT) that are due by Buyers to the Supplier in respect of the relevant Month under all Call-Off Contracts that have been awarded to the Supplier under Lot 5.</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15</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Framework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Manager</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16</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Authorised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Representative</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17</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Compliance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Officer</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lastRenderedPageBreak/>
              <w:t>18</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Supplier Data Protection Officer</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19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Data Protection Liability Cap</w:t>
            </w: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rPr>
                <w:rFonts w:ascii="Arial" w:eastAsia="Arial" w:hAnsi="Arial" w:cs="Arial"/>
              </w:rPr>
            </w:pPr>
            <w:r>
              <w:rPr>
                <w:rFonts w:ascii="Arial" w:eastAsia="Arial" w:hAnsi="Arial" w:cs="Arial"/>
              </w:rPr>
              <w:t>[£10,000,000]</w:t>
            </w:r>
          </w:p>
          <w:p w:rsidR="00D03350" w:rsidRDefault="00D03350">
            <w:pPr>
              <w:rPr>
                <w:rFonts w:ascii="Arial" w:eastAsia="Arial" w:hAnsi="Arial" w:cs="Arial"/>
              </w:rPr>
            </w:pPr>
          </w:p>
          <w:p w:rsidR="00D03350" w:rsidRDefault="00D76C9F">
            <w:pPr>
              <w:rPr>
                <w:rFonts w:ascii="Arial" w:eastAsia="Arial" w:hAnsi="Arial" w:cs="Arial"/>
                <w:b/>
              </w:rPr>
            </w:pPr>
            <w:r>
              <w:rPr>
                <w:rFonts w:ascii="Arial" w:eastAsia="Arial" w:hAnsi="Arial" w:cs="Arial"/>
              </w:rPr>
              <w:t>[</w:t>
            </w:r>
            <w:r>
              <w:rPr>
                <w:rFonts w:ascii="Arial" w:eastAsia="Arial" w:hAnsi="Arial" w:cs="Arial"/>
                <w:b/>
                <w:highlight w:val="yellow"/>
              </w:rPr>
              <w:t>Guidance:</w:t>
            </w:r>
            <w:r>
              <w:rPr>
                <w:rFonts w:ascii="Arial" w:eastAsia="Arial" w:hAnsi="Arial" w:cs="Arial"/>
                <w:b/>
              </w:rPr>
              <w:t xml:space="preserve"> </w:t>
            </w:r>
            <w:r>
              <w:rPr>
                <w:rFonts w:ascii="Arial" w:eastAsia="Arial" w:hAnsi="Arial" w:cs="Arial"/>
                <w:color w:val="000000"/>
              </w:rPr>
              <w:t>Buyers to review level in call-off contracts in line with proportionality of their requirements.]</w:t>
            </w:r>
          </w:p>
          <w:p w:rsidR="00D03350" w:rsidRDefault="00D03350">
            <w:pPr>
              <w:pBdr>
                <w:top w:val="nil"/>
                <w:left w:val="nil"/>
                <w:bottom w:val="nil"/>
                <w:right w:val="nil"/>
                <w:between w:val="nil"/>
              </w:pBdr>
              <w:rPr>
                <w:rFonts w:ascii="Arial" w:eastAsia="Arial" w:hAnsi="Arial" w:cs="Arial"/>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20</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Supplier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Marketing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Contact</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21</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Key </w:t>
            </w:r>
          </w:p>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 xml:space="preserve">Subcontractors </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Key Subcontractor 1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Name (Registered name if registered) [</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name]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Registration number (if registered) [</w:t>
            </w:r>
            <w:r>
              <w:rPr>
                <w:rFonts w:ascii="Arial" w:eastAsia="Arial" w:hAnsi="Arial" w:cs="Arial"/>
                <w:b/>
                <w:color w:val="000000"/>
                <w:highlight w:val="yellow"/>
              </w:rPr>
              <w:t>insert</w:t>
            </w:r>
            <w:r>
              <w:rPr>
                <w:rFonts w:ascii="Arial" w:eastAsia="Arial" w:hAnsi="Arial" w:cs="Arial"/>
                <w:color w:val="000000"/>
              </w:rPr>
              <w:t xml:space="preserve"> number]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Role of Subcontractor [</w:t>
            </w:r>
            <w:r>
              <w:rPr>
                <w:rFonts w:ascii="Arial" w:eastAsia="Arial" w:hAnsi="Arial" w:cs="Arial"/>
                <w:b/>
                <w:color w:val="000000"/>
                <w:highlight w:val="yellow"/>
              </w:rPr>
              <w:t>insert</w:t>
            </w:r>
            <w:r>
              <w:rPr>
                <w:rFonts w:ascii="Arial" w:eastAsia="Arial" w:hAnsi="Arial" w:cs="Arial"/>
                <w:color w:val="000000"/>
              </w:rPr>
              <w:t xml:space="preserve"> role]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highlight w:val="yellow"/>
              </w:rPr>
              <w:t>[</w:t>
            </w:r>
            <w:r>
              <w:rPr>
                <w:rFonts w:ascii="Arial" w:eastAsia="Arial" w:hAnsi="Arial" w:cs="Arial"/>
                <w:b/>
                <w:color w:val="000000"/>
                <w:highlight w:val="yellow"/>
              </w:rPr>
              <w:t>Guidance note</w:t>
            </w:r>
            <w:r>
              <w:rPr>
                <w:rFonts w:ascii="Arial" w:eastAsia="Arial" w:hAnsi="Arial" w:cs="Arial"/>
                <w:color w:val="000000"/>
                <w:highlight w:val="yellow"/>
              </w:rPr>
              <w:t>: copy above lines as needed]</w:t>
            </w:r>
          </w:p>
          <w:p w:rsidR="00D03350" w:rsidRDefault="00D03350">
            <w:pPr>
              <w:pBdr>
                <w:top w:val="nil"/>
                <w:left w:val="nil"/>
                <w:bottom w:val="nil"/>
                <w:right w:val="nil"/>
                <w:between w:val="nil"/>
              </w:pBdr>
              <w:rPr>
                <w:rFonts w:ascii="Arial" w:eastAsia="Arial" w:hAnsi="Arial" w:cs="Arial"/>
                <w:b/>
                <w:color w:val="000000"/>
              </w:rPr>
            </w:pPr>
          </w:p>
        </w:tc>
      </w:tr>
      <w:tr w:rsidR="00D03350">
        <w:tc>
          <w:tcPr>
            <w:tcW w:w="461"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22</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CCS Authorised Representative</w:t>
            </w:r>
          </w:p>
          <w:p w:rsidR="00D03350" w:rsidRDefault="00D03350">
            <w:pPr>
              <w:pBdr>
                <w:top w:val="nil"/>
                <w:left w:val="nil"/>
                <w:bottom w:val="nil"/>
                <w:right w:val="nil"/>
                <w:between w:val="nil"/>
              </w:pBdr>
              <w:rPr>
                <w:rFonts w:ascii="Arial" w:eastAsia="Arial" w:hAnsi="Arial" w:cs="Arial"/>
                <w:b/>
                <w:color w:val="000000"/>
                <w:sz w:val="22"/>
                <w:szCs w:val="22"/>
              </w:rPr>
            </w:pPr>
          </w:p>
        </w:tc>
        <w:tc>
          <w:tcPr>
            <w:tcW w:w="719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name]</w:t>
            </w:r>
          </w:p>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job title]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color w:val="000000"/>
              </w:rPr>
              <w:t xml:space="preserve"> email address] </w:t>
            </w:r>
          </w:p>
          <w:p w:rsidR="00D03350" w:rsidRDefault="00D03350">
            <w:pPr>
              <w:pBdr>
                <w:top w:val="nil"/>
                <w:left w:val="nil"/>
                <w:bottom w:val="nil"/>
                <w:right w:val="nil"/>
                <w:between w:val="nil"/>
              </w:pBdr>
              <w:rPr>
                <w:rFonts w:ascii="Arial" w:eastAsia="Arial" w:hAnsi="Arial" w:cs="Arial"/>
                <w:color w:val="000000"/>
              </w:rPr>
            </w:pPr>
          </w:p>
          <w:p w:rsidR="00D03350" w:rsidRDefault="00D76C9F">
            <w:pPr>
              <w:pBdr>
                <w:top w:val="nil"/>
                <w:left w:val="nil"/>
                <w:bottom w:val="nil"/>
                <w:right w:val="nil"/>
                <w:between w:val="nil"/>
              </w:pBdr>
              <w:rPr>
                <w:color w:val="000000"/>
              </w:rPr>
            </w:pPr>
            <w:r>
              <w:rPr>
                <w:rFonts w:ascii="Arial" w:eastAsia="Arial" w:hAnsi="Arial" w:cs="Arial"/>
                <w:color w:val="000000"/>
              </w:rPr>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phone number]</w:t>
            </w:r>
          </w:p>
        </w:tc>
      </w:tr>
    </w:tbl>
    <w:p w:rsidR="00D03350" w:rsidRDefault="00D76C9F">
      <w:pPr>
        <w:pBdr>
          <w:top w:val="nil"/>
          <w:left w:val="nil"/>
          <w:bottom w:val="nil"/>
          <w:right w:val="nil"/>
          <w:between w:val="nil"/>
        </w:pBdr>
        <w:rPr>
          <w:rFonts w:ascii="Arial" w:eastAsia="Arial" w:hAnsi="Arial" w:cs="Arial"/>
          <w:b/>
          <w:color w:val="000000"/>
        </w:rPr>
      </w:pPr>
      <w:r>
        <w:rPr>
          <w:rFonts w:ascii="Arial" w:eastAsia="Arial" w:hAnsi="Arial" w:cs="Arial"/>
          <w:b/>
          <w:color w:val="000000"/>
        </w:rPr>
        <w:br/>
      </w:r>
    </w:p>
    <w:p w:rsidR="00D03350" w:rsidRDefault="00D03350">
      <w:pPr>
        <w:pBdr>
          <w:top w:val="nil"/>
          <w:left w:val="nil"/>
          <w:bottom w:val="nil"/>
          <w:right w:val="nil"/>
          <w:between w:val="nil"/>
        </w:pBdr>
        <w:rPr>
          <w:rFonts w:ascii="Arial" w:eastAsia="Arial" w:hAnsi="Arial" w:cs="Arial"/>
          <w:color w:val="000000"/>
        </w:rPr>
      </w:pPr>
    </w:p>
    <w:p w:rsidR="00D03350" w:rsidRDefault="00D03350">
      <w:pPr>
        <w:pBdr>
          <w:top w:val="nil"/>
          <w:left w:val="nil"/>
          <w:bottom w:val="nil"/>
          <w:right w:val="nil"/>
          <w:between w:val="nil"/>
        </w:pBdr>
        <w:rPr>
          <w:rFonts w:ascii="Arial" w:eastAsia="Arial" w:hAnsi="Arial" w:cs="Arial"/>
          <w:color w:val="000000"/>
        </w:rPr>
      </w:pPr>
    </w:p>
    <w:p w:rsidR="00AD66AE" w:rsidRDefault="00AD66AE">
      <w:pPr>
        <w:pBdr>
          <w:top w:val="nil"/>
          <w:left w:val="nil"/>
          <w:bottom w:val="nil"/>
          <w:right w:val="nil"/>
          <w:between w:val="nil"/>
        </w:pBdr>
        <w:rPr>
          <w:rFonts w:ascii="Arial" w:eastAsia="Arial" w:hAnsi="Arial" w:cs="Arial"/>
          <w:color w:val="000000"/>
        </w:rPr>
      </w:pPr>
      <w:bookmarkStart w:id="1" w:name="_GoBack"/>
      <w:bookmarkEnd w:id="1"/>
    </w:p>
    <w:tbl>
      <w:tblPr>
        <w:tblStyle w:val="a6"/>
        <w:tblW w:w="9634"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11"/>
        <w:gridCol w:w="3453"/>
        <w:gridCol w:w="1311"/>
        <w:gridCol w:w="3559"/>
      </w:tblGrid>
      <w:tr w:rsidR="00D03350">
        <w:tc>
          <w:tcPr>
            <w:tcW w:w="4764" w:type="dxa"/>
            <w:gridSpan w:val="2"/>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For and on behalf of the Supplier: </w:t>
            </w:r>
          </w:p>
          <w:p w:rsidR="00D03350" w:rsidRDefault="00D03350">
            <w:pPr>
              <w:pBdr>
                <w:top w:val="nil"/>
                <w:left w:val="nil"/>
                <w:bottom w:val="nil"/>
                <w:right w:val="nil"/>
                <w:between w:val="nil"/>
              </w:pBdr>
              <w:rPr>
                <w:rFonts w:ascii="Arial" w:eastAsia="Arial" w:hAnsi="Arial" w:cs="Arial"/>
                <w:b/>
                <w:color w:val="000000"/>
              </w:rPr>
            </w:pP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b/>
                <w:color w:val="000000"/>
              </w:rPr>
            </w:pPr>
            <w:r>
              <w:rPr>
                <w:rFonts w:ascii="Arial" w:eastAsia="Arial" w:hAnsi="Arial" w:cs="Arial"/>
                <w:b/>
                <w:color w:val="000000"/>
              </w:rPr>
              <w:lastRenderedPageBreak/>
              <w:t>For and on behalf of CCS:</w:t>
            </w:r>
          </w:p>
        </w:tc>
      </w:tr>
      <w:tr w:rsidR="00D03350">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D03350" w:rsidRDefault="00D03350">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03350">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tc>
        <w:tc>
          <w:tcPr>
            <w:tcW w:w="3559"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03350">
            <w:pPr>
              <w:pBdr>
                <w:top w:val="nil"/>
                <w:left w:val="nil"/>
                <w:bottom w:val="nil"/>
                <w:right w:val="nil"/>
                <w:between w:val="nil"/>
              </w:pBdr>
              <w:rPr>
                <w:rFonts w:ascii="Arial" w:eastAsia="Arial" w:hAnsi="Arial" w:cs="Arial"/>
                <w:color w:val="000000"/>
              </w:rPr>
            </w:pPr>
          </w:p>
        </w:tc>
      </w:tr>
      <w:tr w:rsidR="00D03350">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Name:</w:t>
            </w:r>
          </w:p>
          <w:p w:rsidR="00D03350" w:rsidRDefault="00D03350">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03350">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Name:</w:t>
            </w:r>
          </w:p>
        </w:tc>
        <w:tc>
          <w:tcPr>
            <w:tcW w:w="3559"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03350">
            <w:pPr>
              <w:pBdr>
                <w:top w:val="nil"/>
                <w:left w:val="nil"/>
                <w:bottom w:val="nil"/>
                <w:right w:val="nil"/>
                <w:between w:val="nil"/>
              </w:pBdr>
              <w:rPr>
                <w:rFonts w:ascii="Arial" w:eastAsia="Arial" w:hAnsi="Arial" w:cs="Arial"/>
                <w:color w:val="000000"/>
              </w:rPr>
            </w:pPr>
          </w:p>
        </w:tc>
      </w:tr>
      <w:tr w:rsidR="00D03350">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Role:</w:t>
            </w:r>
          </w:p>
          <w:p w:rsidR="00D03350" w:rsidRDefault="00D03350">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03350">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Role:</w:t>
            </w:r>
          </w:p>
        </w:tc>
        <w:tc>
          <w:tcPr>
            <w:tcW w:w="3559" w:type="dxa"/>
            <w:tcBorders>
              <w:top w:val="single" w:sz="4" w:space="0" w:color="000000"/>
              <w:left w:val="single" w:sz="4" w:space="0" w:color="000000"/>
              <w:bottom w:val="single" w:sz="4" w:space="0" w:color="000000"/>
              <w:right w:val="single" w:sz="4" w:space="0" w:color="000000"/>
            </w:tcBorders>
            <w:shd w:val="clear" w:color="auto" w:fill="auto"/>
          </w:tcPr>
          <w:p w:rsidR="00D03350" w:rsidRDefault="00D03350">
            <w:pPr>
              <w:pBdr>
                <w:top w:val="nil"/>
                <w:left w:val="nil"/>
                <w:bottom w:val="nil"/>
                <w:right w:val="nil"/>
                <w:between w:val="nil"/>
              </w:pBdr>
              <w:rPr>
                <w:rFonts w:ascii="Arial" w:eastAsia="Arial" w:hAnsi="Arial" w:cs="Arial"/>
                <w:color w:val="000000"/>
              </w:rPr>
            </w:pPr>
          </w:p>
        </w:tc>
      </w:tr>
      <w:tr w:rsidR="00D03350">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D03350" w:rsidRDefault="00D03350">
            <w:pPr>
              <w:pBdr>
                <w:top w:val="nil"/>
                <w:left w:val="nil"/>
                <w:bottom w:val="nil"/>
                <w:right w:val="nil"/>
                <w:between w:val="nil"/>
              </w:pBdr>
              <w:rPr>
                <w:rFonts w:ascii="Arial" w:eastAsia="Arial" w:hAnsi="Arial" w:cs="Arial"/>
                <w:color w:val="000000"/>
              </w:rPr>
            </w:pPr>
          </w:p>
        </w:tc>
        <w:tc>
          <w:tcPr>
            <w:tcW w:w="3453"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03350">
            <w:pPr>
              <w:pBdr>
                <w:top w:val="nil"/>
                <w:left w:val="nil"/>
                <w:bottom w:val="nil"/>
                <w:right w:val="nil"/>
                <w:between w:val="nil"/>
              </w:pBdr>
              <w:rPr>
                <w:rFonts w:ascii="Arial" w:eastAsia="Arial" w:hAnsi="Arial" w:cs="Arial"/>
                <w:color w:val="000000"/>
              </w:rPr>
            </w:pPr>
          </w:p>
        </w:tc>
        <w:tc>
          <w:tcPr>
            <w:tcW w:w="1311"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76C9F">
            <w:pPr>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tc>
        <w:tc>
          <w:tcPr>
            <w:tcW w:w="3559" w:type="dxa"/>
            <w:tcBorders>
              <w:top w:val="single" w:sz="4" w:space="0" w:color="000000"/>
              <w:left w:val="single" w:sz="4" w:space="0" w:color="000000"/>
              <w:bottom w:val="single" w:sz="4" w:space="0" w:color="000000"/>
              <w:right w:val="single" w:sz="4" w:space="0" w:color="000000"/>
            </w:tcBorders>
            <w:shd w:val="clear" w:color="auto" w:fill="BDD6EE"/>
          </w:tcPr>
          <w:p w:rsidR="00D03350" w:rsidRDefault="00D03350">
            <w:pPr>
              <w:pBdr>
                <w:top w:val="nil"/>
                <w:left w:val="nil"/>
                <w:bottom w:val="nil"/>
                <w:right w:val="nil"/>
                <w:between w:val="nil"/>
              </w:pBdr>
              <w:rPr>
                <w:rFonts w:ascii="Arial" w:eastAsia="Arial" w:hAnsi="Arial" w:cs="Arial"/>
                <w:color w:val="000000"/>
              </w:rPr>
            </w:pPr>
          </w:p>
        </w:tc>
      </w:tr>
    </w:tbl>
    <w:p w:rsidR="00D03350" w:rsidRDefault="00D03350">
      <w:pPr>
        <w:pBdr>
          <w:top w:val="nil"/>
          <w:left w:val="nil"/>
          <w:bottom w:val="nil"/>
          <w:right w:val="nil"/>
          <w:between w:val="nil"/>
        </w:pBdr>
        <w:rPr>
          <w:rFonts w:ascii="Arial" w:eastAsia="Arial" w:hAnsi="Arial" w:cs="Arial"/>
          <w:color w:val="000000"/>
        </w:rPr>
      </w:pPr>
    </w:p>
    <w:sectPr w:rsidR="00D03350">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633" w:rsidRDefault="00D76C9F">
      <w:r>
        <w:separator/>
      </w:r>
    </w:p>
  </w:endnote>
  <w:endnote w:type="continuationSeparator" w:id="0">
    <w:p w:rsidR="00B13633" w:rsidRDefault="00D7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Times New Roman"/>
    <w:charset w:val="00"/>
    <w:family w:val="swiss"/>
    <w:pitch w:val="variable"/>
  </w:font>
  <w:font w:name="Linux Libertine G">
    <w:charset w:val="00"/>
    <w:family w:val="auto"/>
    <w:pitch w:val="variable"/>
  </w:font>
  <w:font w:name="DejaVu Sans">
    <w:panose1 w:val="020B0603030804020204"/>
    <w:charset w:val="00"/>
    <w:family w:val="swiss"/>
    <w:pitch w:val="variable"/>
    <w:sig w:usb0="E7002EFF" w:usb1="D200FDFF" w:usb2="0A04602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Default="00D03350">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Pr="00FF3A2F" w:rsidRDefault="00D76C9F">
    <w:pPr>
      <w:pBdr>
        <w:top w:val="nil"/>
        <w:left w:val="nil"/>
        <w:bottom w:val="nil"/>
        <w:right w:val="nil"/>
        <w:between w:val="nil"/>
      </w:pBdr>
      <w:tabs>
        <w:tab w:val="center" w:pos="4513"/>
        <w:tab w:val="right" w:pos="9026"/>
      </w:tabs>
      <w:jc w:val="center"/>
      <w:rPr>
        <w:rFonts w:ascii="Arial" w:eastAsia="Arial" w:hAnsi="Arial" w:cs="Arial"/>
        <w:color w:val="000000"/>
        <w:sz w:val="14"/>
        <w:szCs w:val="14"/>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D66AE">
      <w:rPr>
        <w:rFonts w:ascii="Arial" w:eastAsia="Arial" w:hAnsi="Arial" w:cs="Arial"/>
        <w:noProof/>
        <w:color w:val="000000"/>
        <w:sz w:val="20"/>
        <w:szCs w:val="20"/>
      </w:rPr>
      <w:t>8</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Default="00D03350">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633" w:rsidRDefault="00D76C9F">
      <w:r>
        <w:separator/>
      </w:r>
    </w:p>
  </w:footnote>
  <w:footnote w:type="continuationSeparator" w:id="0">
    <w:p w:rsidR="00B13633" w:rsidRDefault="00D7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Default="00D03350">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Default="00D76C9F">
    <w:pPr>
      <w:pBdr>
        <w:top w:val="nil"/>
        <w:left w:val="nil"/>
        <w:bottom w:val="nil"/>
        <w:right w:val="nil"/>
        <w:between w:val="nil"/>
      </w:pBdr>
      <w:tabs>
        <w:tab w:val="center" w:pos="4513"/>
        <w:tab w:val="right" w:pos="9026"/>
      </w:tabs>
      <w:rPr>
        <w:color w:val="000000"/>
      </w:rPr>
    </w:pPr>
    <w:r>
      <w:rPr>
        <w:noProof/>
        <w:color w:val="000000"/>
        <w:lang w:eastAsia="en-GB"/>
      </w:rPr>
      <w:drawing>
        <wp:inline distT="0" distB="0" distL="0" distR="0">
          <wp:extent cx="1398270" cy="1120140"/>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b="-6605"/>
                  <a:stretch>
                    <a:fillRect/>
                  </a:stretch>
                </pic:blipFill>
                <pic:spPr>
                  <a:xfrm>
                    <a:off x="0" y="0"/>
                    <a:ext cx="1398270" cy="1120140"/>
                  </a:xfrm>
                  <a:prstGeom prst="rect">
                    <a:avLst/>
                  </a:prstGeom>
                  <a:ln/>
                </pic:spPr>
              </pic:pic>
            </a:graphicData>
          </a:graphic>
        </wp:inline>
      </w:drawing>
    </w:r>
  </w:p>
  <w:p w:rsidR="00D03350" w:rsidRDefault="00D03350">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3350" w:rsidRDefault="00D03350">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02DAC"/>
    <w:multiLevelType w:val="multilevel"/>
    <w:tmpl w:val="9CA61E76"/>
    <w:lvl w:ilvl="0">
      <w:start w:val="1"/>
      <w:numFmt w:val="decimal"/>
      <w:pStyle w:val="GPSL1SCHEDULEHeading"/>
      <w:lvlText w:val="%1."/>
      <w:lvlJc w:val="left"/>
      <w:pPr>
        <w:tabs>
          <w:tab w:val="num" w:pos="720"/>
        </w:tabs>
        <w:ind w:left="720" w:hanging="720"/>
      </w:pPr>
    </w:lvl>
    <w:lvl w:ilvl="1">
      <w:start w:val="1"/>
      <w:numFmt w:val="decimal"/>
      <w:pStyle w:val="11tab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AEC56CF"/>
    <w:multiLevelType w:val="multilevel"/>
    <w:tmpl w:val="F2E018FC"/>
    <w:lvl w:ilvl="0">
      <w:start w:val="1"/>
      <w:numFmt w:val="bullet"/>
      <w:lvlText w:val="●"/>
      <w:lvlJc w:val="left"/>
      <w:pPr>
        <w:ind w:left="1133" w:hanging="360"/>
      </w:pPr>
      <w:rPr>
        <w:rFonts w:ascii="Noto Sans Symbols" w:eastAsia="Noto Sans Symbols" w:hAnsi="Noto Sans Symbols" w:cs="Noto Sans Symbols"/>
      </w:rPr>
    </w:lvl>
    <w:lvl w:ilvl="1">
      <w:start w:val="1"/>
      <w:numFmt w:val="bullet"/>
      <w:lvlText w:val="o"/>
      <w:lvlJc w:val="left"/>
      <w:pPr>
        <w:ind w:left="1853" w:hanging="360"/>
      </w:pPr>
    </w:lvl>
    <w:lvl w:ilvl="2">
      <w:start w:val="1"/>
      <w:numFmt w:val="bullet"/>
      <w:lvlText w:val="▪"/>
      <w:lvlJc w:val="left"/>
      <w:pPr>
        <w:ind w:left="2573" w:hanging="360"/>
      </w:pPr>
      <w:rPr>
        <w:rFonts w:ascii="Noto Sans Symbols" w:eastAsia="Noto Sans Symbols" w:hAnsi="Noto Sans Symbols" w:cs="Noto Sans Symbols"/>
      </w:rPr>
    </w:lvl>
    <w:lvl w:ilvl="3">
      <w:start w:val="1"/>
      <w:numFmt w:val="bullet"/>
      <w:lvlText w:val="●"/>
      <w:lvlJc w:val="left"/>
      <w:pPr>
        <w:ind w:left="3293" w:hanging="360"/>
      </w:pPr>
      <w:rPr>
        <w:rFonts w:ascii="Noto Sans Symbols" w:eastAsia="Noto Sans Symbols" w:hAnsi="Noto Sans Symbols" w:cs="Noto Sans Symbols"/>
      </w:rPr>
    </w:lvl>
    <w:lvl w:ilvl="4">
      <w:start w:val="1"/>
      <w:numFmt w:val="bullet"/>
      <w:lvlText w:val="o"/>
      <w:lvlJc w:val="left"/>
      <w:pPr>
        <w:ind w:left="4013" w:hanging="360"/>
      </w:pPr>
    </w:lvl>
    <w:lvl w:ilvl="5">
      <w:start w:val="1"/>
      <w:numFmt w:val="bullet"/>
      <w:lvlText w:val="▪"/>
      <w:lvlJc w:val="left"/>
      <w:pPr>
        <w:ind w:left="4733" w:hanging="360"/>
      </w:pPr>
      <w:rPr>
        <w:rFonts w:ascii="Noto Sans Symbols" w:eastAsia="Noto Sans Symbols" w:hAnsi="Noto Sans Symbols" w:cs="Noto Sans Symbols"/>
      </w:rPr>
    </w:lvl>
    <w:lvl w:ilvl="6">
      <w:start w:val="1"/>
      <w:numFmt w:val="bullet"/>
      <w:lvlText w:val="●"/>
      <w:lvlJc w:val="left"/>
      <w:pPr>
        <w:ind w:left="5453" w:hanging="360"/>
      </w:pPr>
      <w:rPr>
        <w:rFonts w:ascii="Noto Sans Symbols" w:eastAsia="Noto Sans Symbols" w:hAnsi="Noto Sans Symbols" w:cs="Noto Sans Symbols"/>
      </w:rPr>
    </w:lvl>
    <w:lvl w:ilvl="7">
      <w:start w:val="1"/>
      <w:numFmt w:val="bullet"/>
      <w:lvlText w:val="o"/>
      <w:lvlJc w:val="left"/>
      <w:pPr>
        <w:ind w:left="6173" w:hanging="360"/>
      </w:pPr>
    </w:lvl>
    <w:lvl w:ilvl="8">
      <w:start w:val="1"/>
      <w:numFmt w:val="bullet"/>
      <w:lvlText w:val="▪"/>
      <w:lvlJc w:val="left"/>
      <w:pPr>
        <w:ind w:left="6893" w:hanging="360"/>
      </w:pPr>
      <w:rPr>
        <w:rFonts w:ascii="Noto Sans Symbols" w:eastAsia="Noto Sans Symbols" w:hAnsi="Noto Sans Symbols" w:cs="Noto Sans Symbols"/>
      </w:rPr>
    </w:lvl>
  </w:abstractNum>
  <w:abstractNum w:abstractNumId="2" w15:restartNumberingAfterBreak="0">
    <w:nsid w:val="2FD66C7C"/>
    <w:multiLevelType w:val="multilevel"/>
    <w:tmpl w:val="2F3C83B0"/>
    <w:lvl w:ilvl="0">
      <w:start w:val="1"/>
      <w:numFmt w:val="bullet"/>
      <w:lvlText w:val="o"/>
      <w:lvlJc w:val="left"/>
      <w:pPr>
        <w:ind w:left="773" w:hanging="360"/>
      </w:pPr>
    </w:lvl>
    <w:lvl w:ilvl="1">
      <w:start w:val="1"/>
      <w:numFmt w:val="bullet"/>
      <w:lvlText w:val="o"/>
      <w:lvlJc w:val="left"/>
      <w:pPr>
        <w:ind w:left="1493" w:hanging="360"/>
      </w:pPr>
    </w:lvl>
    <w:lvl w:ilvl="2">
      <w:start w:val="1"/>
      <w:numFmt w:val="bullet"/>
      <w:lvlText w:val="▪"/>
      <w:lvlJc w:val="left"/>
      <w:pPr>
        <w:ind w:left="2213" w:hanging="360"/>
      </w:pPr>
      <w:rPr>
        <w:rFonts w:ascii="Noto Sans Symbols" w:eastAsia="Noto Sans Symbols" w:hAnsi="Noto Sans Symbols" w:cs="Noto Sans Symbols"/>
      </w:rPr>
    </w:lvl>
    <w:lvl w:ilvl="3">
      <w:start w:val="1"/>
      <w:numFmt w:val="bullet"/>
      <w:lvlText w:val="●"/>
      <w:lvlJc w:val="left"/>
      <w:pPr>
        <w:ind w:left="2933" w:hanging="360"/>
      </w:pPr>
      <w:rPr>
        <w:rFonts w:ascii="Noto Sans Symbols" w:eastAsia="Noto Sans Symbols" w:hAnsi="Noto Sans Symbols" w:cs="Noto Sans Symbols"/>
      </w:rPr>
    </w:lvl>
    <w:lvl w:ilvl="4">
      <w:start w:val="1"/>
      <w:numFmt w:val="bullet"/>
      <w:lvlText w:val="o"/>
      <w:lvlJc w:val="left"/>
      <w:pPr>
        <w:ind w:left="3653" w:hanging="360"/>
      </w:pPr>
    </w:lvl>
    <w:lvl w:ilvl="5">
      <w:start w:val="1"/>
      <w:numFmt w:val="bullet"/>
      <w:lvlText w:val="▪"/>
      <w:lvlJc w:val="left"/>
      <w:pPr>
        <w:ind w:left="4373" w:hanging="360"/>
      </w:pPr>
      <w:rPr>
        <w:rFonts w:ascii="Noto Sans Symbols" w:eastAsia="Noto Sans Symbols" w:hAnsi="Noto Sans Symbols" w:cs="Noto Sans Symbols"/>
      </w:rPr>
    </w:lvl>
    <w:lvl w:ilvl="6">
      <w:start w:val="1"/>
      <w:numFmt w:val="bullet"/>
      <w:lvlText w:val="●"/>
      <w:lvlJc w:val="left"/>
      <w:pPr>
        <w:ind w:left="5093" w:hanging="360"/>
      </w:pPr>
      <w:rPr>
        <w:rFonts w:ascii="Noto Sans Symbols" w:eastAsia="Noto Sans Symbols" w:hAnsi="Noto Sans Symbols" w:cs="Noto Sans Symbols"/>
      </w:rPr>
    </w:lvl>
    <w:lvl w:ilvl="7">
      <w:start w:val="1"/>
      <w:numFmt w:val="bullet"/>
      <w:lvlText w:val="o"/>
      <w:lvlJc w:val="left"/>
      <w:pPr>
        <w:ind w:left="5813" w:hanging="360"/>
      </w:pPr>
    </w:lvl>
    <w:lvl w:ilvl="8">
      <w:start w:val="1"/>
      <w:numFmt w:val="bullet"/>
      <w:lvlText w:val="▪"/>
      <w:lvlJc w:val="left"/>
      <w:pPr>
        <w:ind w:left="6533" w:hanging="360"/>
      </w:pPr>
      <w:rPr>
        <w:rFonts w:ascii="Noto Sans Symbols" w:eastAsia="Noto Sans Symbols" w:hAnsi="Noto Sans Symbols" w:cs="Noto Sans Symbols"/>
      </w:rPr>
    </w:lvl>
  </w:abstractNum>
  <w:abstractNum w:abstractNumId="3" w15:restartNumberingAfterBreak="0">
    <w:nsid w:val="35746E32"/>
    <w:multiLevelType w:val="multilevel"/>
    <w:tmpl w:val="6518CDD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8D1F13"/>
    <w:multiLevelType w:val="multilevel"/>
    <w:tmpl w:val="CC6AB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B82478"/>
    <w:multiLevelType w:val="multilevel"/>
    <w:tmpl w:val="765E5458"/>
    <w:lvl w:ilvl="0">
      <w:start w:val="1"/>
      <w:numFmt w:val="bullet"/>
      <w:lvlText w:val="o"/>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350"/>
    <w:rsid w:val="00086F83"/>
    <w:rsid w:val="00116BD5"/>
    <w:rsid w:val="00126D88"/>
    <w:rsid w:val="002D51E5"/>
    <w:rsid w:val="003567BE"/>
    <w:rsid w:val="0050385B"/>
    <w:rsid w:val="00535A50"/>
    <w:rsid w:val="00AD548B"/>
    <w:rsid w:val="00AD66AE"/>
    <w:rsid w:val="00B13633"/>
    <w:rsid w:val="00D03350"/>
    <w:rsid w:val="00D76C9F"/>
    <w:rsid w:val="00DB5654"/>
    <w:rsid w:val="00FF3A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E261C"/>
  <w15:docId w15:val="{ADC8839F-0397-4998-BDEC-43340C29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extAlignment w:val="baseline"/>
    </w:pPr>
    <w:rPr>
      <w:rFonts w:cs="Times New Roman"/>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LO-Normal"/>
    <w:next w:val="LO-Normal"/>
    <w:qFormat/>
    <w:pPr>
      <w:keepNext/>
      <w:keepLines/>
      <w:numPr>
        <w:ilvl w:val="2"/>
        <w:numId w:val="1"/>
      </w:numPr>
      <w:spacing w:before="40"/>
      <w:outlineLvl w:val="2"/>
    </w:pPr>
    <w:rPr>
      <w:rFonts w:ascii="Calibri Light" w:eastAsia="Times New Roman" w:hAnsi="Calibri Light"/>
      <w:color w:val="1F4D7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Heading3Char">
    <w:name w:val="Heading 3 Char"/>
    <w:basedOn w:val="DefaultParagraphFont"/>
    <w:qFormat/>
    <w:rPr>
      <w:rFonts w:ascii="Calibri Light" w:eastAsia="Times New Roman" w:hAnsi="Calibri Light" w:cs="Times New Roman"/>
      <w:color w:val="1F4D78"/>
    </w:rPr>
  </w:style>
  <w:style w:type="character" w:customStyle="1" w:styleId="WWCharLFO2LVL1">
    <w:name w:val="WW_CharLFO2LVL1"/>
    <w:qFormat/>
    <w:rPr>
      <w:rFonts w:ascii="Courier New" w:hAnsi="Courier New" w:cs="Courier New"/>
    </w:rPr>
  </w:style>
  <w:style w:type="character" w:customStyle="1" w:styleId="WWCharLFO2LVL2">
    <w:name w:val="WW_CharLFO2LVL2"/>
    <w:qFormat/>
    <w:rPr>
      <w:rFonts w:ascii="Courier New" w:hAnsi="Courier New" w:cs="Courier New"/>
    </w:rPr>
  </w:style>
  <w:style w:type="character" w:customStyle="1" w:styleId="WWCharLFO2LVL3">
    <w:name w:val="WW_CharLFO2LVL3"/>
    <w:qFormat/>
    <w:rPr>
      <w:rFonts w:ascii="Wingdings" w:hAnsi="Wingdings"/>
    </w:rPr>
  </w:style>
  <w:style w:type="character" w:customStyle="1" w:styleId="WWCharLFO2LVL4">
    <w:name w:val="WW_CharLFO2LVL4"/>
    <w:qFormat/>
    <w:rPr>
      <w:rFonts w:ascii="Symbol" w:hAnsi="Symbol"/>
    </w:rPr>
  </w:style>
  <w:style w:type="character" w:customStyle="1" w:styleId="WWCharLFO2LVL5">
    <w:name w:val="WW_CharLFO2LVL5"/>
    <w:qFormat/>
    <w:rPr>
      <w:rFonts w:ascii="Courier New" w:hAnsi="Courier New" w:cs="Courier New"/>
    </w:rPr>
  </w:style>
  <w:style w:type="character" w:customStyle="1" w:styleId="WWCharLFO2LVL6">
    <w:name w:val="WW_CharLFO2LVL6"/>
    <w:qFormat/>
    <w:rPr>
      <w:rFonts w:ascii="Wingdings" w:hAnsi="Wingdings"/>
    </w:rPr>
  </w:style>
  <w:style w:type="character" w:customStyle="1" w:styleId="WWCharLFO2LVL7">
    <w:name w:val="WW_CharLFO2LVL7"/>
    <w:qFormat/>
    <w:rPr>
      <w:rFonts w:ascii="Symbol" w:hAnsi="Symbol"/>
    </w:rPr>
  </w:style>
  <w:style w:type="character" w:customStyle="1" w:styleId="WWCharLFO2LVL8">
    <w:name w:val="WW_CharLFO2LVL8"/>
    <w:qFormat/>
    <w:rPr>
      <w:rFonts w:ascii="Courier New" w:hAnsi="Courier New" w:cs="Courier New"/>
    </w:rPr>
  </w:style>
  <w:style w:type="character" w:customStyle="1" w:styleId="WWCharLFO2LVL9">
    <w:name w:val="WW_CharLFO2LVL9"/>
    <w:qFormat/>
    <w:rPr>
      <w:rFonts w:ascii="Wingdings" w:hAnsi="Wingdings"/>
    </w:rPr>
  </w:style>
  <w:style w:type="character" w:customStyle="1" w:styleId="WWCharLFO3LVL1">
    <w:name w:val="WW_CharLFO3LVL1"/>
    <w:qFormat/>
    <w:rPr>
      <w:rFonts w:ascii="Symbol" w:hAnsi="Symbol"/>
    </w:rPr>
  </w:style>
  <w:style w:type="character" w:customStyle="1" w:styleId="WWCharLFO3LVL2">
    <w:name w:val="WW_CharLFO3LVL2"/>
    <w:qFormat/>
    <w:rPr>
      <w:rFonts w:ascii="Courier New" w:hAnsi="Courier New" w:cs="Courier New"/>
    </w:rPr>
  </w:style>
  <w:style w:type="character" w:customStyle="1" w:styleId="WWCharLFO3LVL3">
    <w:name w:val="WW_CharLFO3LVL3"/>
    <w:qFormat/>
    <w:rPr>
      <w:rFonts w:ascii="Wingdings" w:hAnsi="Wingdings"/>
    </w:rPr>
  </w:style>
  <w:style w:type="character" w:customStyle="1" w:styleId="WWCharLFO3LVL4">
    <w:name w:val="WW_CharLFO3LVL4"/>
    <w:qFormat/>
    <w:rPr>
      <w:rFonts w:ascii="Symbol" w:hAnsi="Symbol"/>
    </w:rPr>
  </w:style>
  <w:style w:type="character" w:customStyle="1" w:styleId="WWCharLFO3LVL5">
    <w:name w:val="WW_CharLFO3LVL5"/>
    <w:qFormat/>
    <w:rPr>
      <w:rFonts w:ascii="Courier New" w:hAnsi="Courier New" w:cs="Courier New"/>
    </w:rPr>
  </w:style>
  <w:style w:type="character" w:customStyle="1" w:styleId="WWCharLFO3LVL6">
    <w:name w:val="WW_CharLFO3LVL6"/>
    <w:qFormat/>
    <w:rPr>
      <w:rFonts w:ascii="Wingdings" w:hAnsi="Wingdings"/>
    </w:rPr>
  </w:style>
  <w:style w:type="character" w:customStyle="1" w:styleId="WWCharLFO3LVL7">
    <w:name w:val="WW_CharLFO3LVL7"/>
    <w:qFormat/>
    <w:rPr>
      <w:rFonts w:ascii="Symbol" w:hAnsi="Symbol"/>
    </w:rPr>
  </w:style>
  <w:style w:type="character" w:customStyle="1" w:styleId="WWCharLFO3LVL8">
    <w:name w:val="WW_CharLFO3LVL8"/>
    <w:qFormat/>
    <w:rPr>
      <w:rFonts w:ascii="Courier New" w:hAnsi="Courier New" w:cs="Courier New"/>
    </w:rPr>
  </w:style>
  <w:style w:type="character" w:customStyle="1" w:styleId="WWCharLFO3LVL9">
    <w:name w:val="WW_CharLFO3LVL9"/>
    <w:qFormat/>
    <w:rPr>
      <w:rFonts w:ascii="Wingdings" w:hAnsi="Wingdings"/>
    </w:rPr>
  </w:style>
  <w:style w:type="character" w:customStyle="1" w:styleId="WWCharLFO4LVL1">
    <w:name w:val="WW_CharLFO4LVL1"/>
    <w:qFormat/>
    <w:rPr>
      <w:rFonts w:ascii="Courier New" w:hAnsi="Courier New" w:cs="Courier New"/>
    </w:rPr>
  </w:style>
  <w:style w:type="character" w:customStyle="1" w:styleId="WWCharLFO4LVL2">
    <w:name w:val="WW_CharLFO4LVL2"/>
    <w:qFormat/>
    <w:rPr>
      <w:rFonts w:ascii="Courier New" w:hAnsi="Courier New" w:cs="Courier New"/>
    </w:rPr>
  </w:style>
  <w:style w:type="character" w:customStyle="1" w:styleId="WWCharLFO4LVL3">
    <w:name w:val="WW_CharLFO4LVL3"/>
    <w:qFormat/>
    <w:rPr>
      <w:rFonts w:ascii="Wingdings" w:hAnsi="Wingdings"/>
    </w:rPr>
  </w:style>
  <w:style w:type="character" w:customStyle="1" w:styleId="WWCharLFO4LVL4">
    <w:name w:val="WW_CharLFO4LVL4"/>
    <w:qFormat/>
    <w:rPr>
      <w:rFonts w:ascii="Symbol" w:hAnsi="Symbol"/>
    </w:rPr>
  </w:style>
  <w:style w:type="character" w:customStyle="1" w:styleId="WWCharLFO4LVL5">
    <w:name w:val="WW_CharLFO4LVL5"/>
    <w:qFormat/>
    <w:rPr>
      <w:rFonts w:ascii="Courier New" w:hAnsi="Courier New" w:cs="Courier New"/>
    </w:rPr>
  </w:style>
  <w:style w:type="character" w:customStyle="1" w:styleId="WWCharLFO4LVL6">
    <w:name w:val="WW_CharLFO4LVL6"/>
    <w:qFormat/>
    <w:rPr>
      <w:rFonts w:ascii="Wingdings" w:hAnsi="Wingdings"/>
    </w:rPr>
  </w:style>
  <w:style w:type="character" w:customStyle="1" w:styleId="WWCharLFO4LVL7">
    <w:name w:val="WW_CharLFO4LVL7"/>
    <w:qFormat/>
    <w:rPr>
      <w:rFonts w:ascii="Symbol" w:hAnsi="Symbol"/>
    </w:rPr>
  </w:style>
  <w:style w:type="character" w:customStyle="1" w:styleId="WWCharLFO4LVL8">
    <w:name w:val="WW_CharLFO4LVL8"/>
    <w:qFormat/>
    <w:rPr>
      <w:rFonts w:ascii="Courier New" w:hAnsi="Courier New" w:cs="Courier New"/>
    </w:rPr>
  </w:style>
  <w:style w:type="character" w:customStyle="1" w:styleId="WWCharLFO4LVL9">
    <w:name w:val="WW_CharLFO4LVL9"/>
    <w:qFormat/>
    <w:rPr>
      <w:rFonts w:ascii="Wingdings" w:hAnsi="Wingdings"/>
    </w:rPr>
  </w:style>
  <w:style w:type="character" w:customStyle="1" w:styleId="WWCharLFO5LVL1">
    <w:name w:val="WW_CharLFO5LVL1"/>
    <w:qFormat/>
    <w:rPr>
      <w:rFonts w:ascii="Courier New" w:hAnsi="Courier New" w:cs="Courier New"/>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rPr>
  </w:style>
  <w:style w:type="character" w:customStyle="1" w:styleId="WWCharLFO5LVL4">
    <w:name w:val="WW_CharLFO5LVL4"/>
    <w:qFormat/>
    <w:rPr>
      <w:rFonts w:ascii="Symbol" w:hAnsi="Symbol"/>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rPr>
  </w:style>
  <w:style w:type="character" w:customStyle="1" w:styleId="WWCharLFO5LVL7">
    <w:name w:val="WW_CharLFO5LVL7"/>
    <w:qFormat/>
    <w:rPr>
      <w:rFonts w:ascii="Symbol" w:hAnsi="Symbol"/>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rPr>
  </w:style>
  <w:style w:type="character" w:customStyle="1" w:styleId="WWCharLFO6LVL1">
    <w:name w:val="WW_CharLFO6LVL1"/>
    <w:qFormat/>
    <w:rPr>
      <w:rFonts w:ascii="Symbol" w:hAnsi="Symbol"/>
    </w:rPr>
  </w:style>
  <w:style w:type="character" w:customStyle="1" w:styleId="WWCharLFO6LVL2">
    <w:name w:val="WW_CharLFO6LVL2"/>
    <w:qFormat/>
    <w:rPr>
      <w:rFonts w:ascii="Courier New" w:hAnsi="Courier New" w:cs="Courier New"/>
    </w:rPr>
  </w:style>
  <w:style w:type="character" w:customStyle="1" w:styleId="WWCharLFO6LVL3">
    <w:name w:val="WW_CharLFO6LVL3"/>
    <w:qFormat/>
    <w:rPr>
      <w:rFonts w:ascii="Wingdings" w:hAnsi="Wingdings"/>
    </w:rPr>
  </w:style>
  <w:style w:type="character" w:customStyle="1" w:styleId="WWCharLFO6LVL4">
    <w:name w:val="WW_CharLFO6LVL4"/>
    <w:qFormat/>
    <w:rPr>
      <w:rFonts w:ascii="Symbol" w:hAnsi="Symbol"/>
    </w:rPr>
  </w:style>
  <w:style w:type="character" w:customStyle="1" w:styleId="WWCharLFO6LVL5">
    <w:name w:val="WW_CharLFO6LVL5"/>
    <w:qFormat/>
    <w:rPr>
      <w:rFonts w:ascii="Courier New" w:hAnsi="Courier New" w:cs="Courier New"/>
    </w:rPr>
  </w:style>
  <w:style w:type="character" w:customStyle="1" w:styleId="WWCharLFO6LVL6">
    <w:name w:val="WW_CharLFO6LVL6"/>
    <w:qFormat/>
    <w:rPr>
      <w:rFonts w:ascii="Wingdings" w:hAnsi="Wingdings"/>
    </w:rPr>
  </w:style>
  <w:style w:type="character" w:customStyle="1" w:styleId="WWCharLFO6LVL7">
    <w:name w:val="WW_CharLFO6LVL7"/>
    <w:qFormat/>
    <w:rPr>
      <w:rFonts w:ascii="Symbol" w:hAnsi="Symbol"/>
    </w:rPr>
  </w:style>
  <w:style w:type="character" w:customStyle="1" w:styleId="WWCharLFO6LVL8">
    <w:name w:val="WW_CharLFO6LVL8"/>
    <w:qFormat/>
    <w:rPr>
      <w:rFonts w:ascii="Courier New" w:hAnsi="Courier New" w:cs="Courier New"/>
    </w:rPr>
  </w:style>
  <w:style w:type="character" w:customStyle="1" w:styleId="WWCharLFO6LVL9">
    <w:name w:val="WW_CharLFO6LVL9"/>
    <w:qFormat/>
    <w:rPr>
      <w:rFonts w:ascii="Wingdings" w:hAnsi="Wingdings"/>
    </w:rPr>
  </w:style>
  <w:style w:type="paragraph" w:customStyle="1" w:styleId="Heading">
    <w:name w:val="Heading"/>
    <w:basedOn w:val="Normal"/>
    <w:next w:val="BodyText"/>
    <w:qFormat/>
    <w:pPr>
      <w:keepNext/>
      <w:spacing w:before="240" w:after="120"/>
    </w:pPr>
    <w:rPr>
      <w:rFonts w:ascii="Liberation Sans" w:eastAsia="Linux Libertine G" w:hAnsi="Liberation Sans" w:cs="DejaVu Sans"/>
      <w:sz w:val="28"/>
      <w:szCs w:val="28"/>
    </w:rPr>
  </w:style>
  <w:style w:type="paragraph" w:styleId="BodyText">
    <w:name w:val="Body Text"/>
    <w:basedOn w:val="Normal"/>
    <w:pPr>
      <w:spacing w:after="140" w:line="276" w:lineRule="auto"/>
    </w:pPr>
  </w:style>
  <w:style w:type="paragraph" w:customStyle="1" w:styleId="LO-Normal">
    <w:name w:val="LO-Normal"/>
    <w:qFormat/>
    <w:pPr>
      <w:suppressAutoHyphens/>
      <w:textAlignment w:val="baseline"/>
    </w:pPr>
    <w:rPr>
      <w:rFonts w:cs="Times New Roman"/>
      <w:lang w:eastAsia="en-US"/>
    </w:rPr>
  </w:style>
  <w:style w:type="paragraph" w:styleId="ListParagraph">
    <w:name w:val="List Paragraph"/>
    <w:basedOn w:val="LO-Normal"/>
    <w:qFormat/>
    <w:pPr>
      <w:ind w:left="720"/>
    </w:pPr>
  </w:style>
  <w:style w:type="paragraph" w:styleId="Header">
    <w:name w:val="header"/>
    <w:basedOn w:val="LO-Normal"/>
    <w:pPr>
      <w:tabs>
        <w:tab w:val="center" w:pos="4513"/>
        <w:tab w:val="right" w:pos="9026"/>
      </w:tabs>
    </w:pPr>
  </w:style>
  <w:style w:type="paragraph" w:styleId="Footer">
    <w:name w:val="footer"/>
    <w:basedOn w:val="LO-Normal"/>
    <w:pPr>
      <w:tabs>
        <w:tab w:val="center" w:pos="4513"/>
        <w:tab w:val="right" w:pos="9026"/>
      </w:tabs>
    </w:pPr>
  </w:style>
  <w:style w:type="paragraph" w:customStyle="1" w:styleId="TSOLScheduleMainSectionX11">
    <w:name w:val="TSOL Schedule Main Section X.1.1"/>
    <w:basedOn w:val="Heading3"/>
    <w:qFormat/>
    <w:pPr>
      <w:keepNext w:val="0"/>
      <w:keepLines w:val="0"/>
      <w:numPr>
        <w:ilvl w:val="0"/>
        <w:numId w:val="0"/>
      </w:numPr>
      <w:tabs>
        <w:tab w:val="left" w:pos="360"/>
        <w:tab w:val="left" w:pos="2160"/>
      </w:tabs>
      <w:spacing w:before="0" w:after="240"/>
      <w:jc w:val="both"/>
    </w:pPr>
    <w:rPr>
      <w:rFonts w:ascii="Arial" w:eastAsia="STZhongsong" w:hAnsi="Arial" w:cs="Arial"/>
      <w:color w:val="auto"/>
      <w:sz w:val="22"/>
      <w:szCs w:val="22"/>
      <w:lang w:eastAsia="zh-CN"/>
    </w:rPr>
  </w:style>
  <w:style w:type="paragraph" w:customStyle="1" w:styleId="TableContents">
    <w:name w:val="Table Contents"/>
    <w:basedOn w:val="Normal"/>
    <w:qFormat/>
    <w:pPr>
      <w:suppressLineNumbers/>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table" w:customStyle="1" w:styleId="a0">
    <w:basedOn w:val="TableNormal"/>
    <w:tblPr>
      <w:tblStyleRowBandSize w:val="1"/>
      <w:tblStyleColBandSize w:val="1"/>
      <w:tblCellMar>
        <w:left w:w="103"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cs="Times New Roman"/>
      <w:sz w:val="20"/>
      <w:szCs w:val="20"/>
      <w:lang w:eastAsia="en-US"/>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1879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911"/>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ED2671"/>
    <w:rPr>
      <w:b/>
      <w:bCs/>
    </w:rPr>
  </w:style>
  <w:style w:type="character" w:customStyle="1" w:styleId="CommentSubjectChar">
    <w:name w:val="Comment Subject Char"/>
    <w:basedOn w:val="CommentTextChar"/>
    <w:link w:val="CommentSubject"/>
    <w:uiPriority w:val="99"/>
    <w:semiHidden/>
    <w:rsid w:val="00ED2671"/>
    <w:rPr>
      <w:rFonts w:cs="Times New Roman"/>
      <w:b/>
      <w:bCs/>
      <w:sz w:val="20"/>
      <w:szCs w:val="20"/>
      <w:lang w:eastAsia="en-US"/>
    </w:rPr>
  </w:style>
  <w:style w:type="paragraph" w:styleId="Revision">
    <w:name w:val="Revision"/>
    <w:hidden/>
    <w:uiPriority w:val="99"/>
    <w:semiHidden/>
    <w:rsid w:val="00D64587"/>
    <w:rPr>
      <w:rFonts w:cs="Times New Roman"/>
      <w:lang w:eastAsia="en-US"/>
    </w:rPr>
  </w:style>
  <w:style w:type="paragraph" w:customStyle="1" w:styleId="11table">
    <w:name w:val="1.1 table"/>
    <w:basedOn w:val="Normal"/>
    <w:qFormat/>
    <w:rsid w:val="00B52BEC"/>
    <w:pPr>
      <w:numPr>
        <w:ilvl w:val="1"/>
        <w:numId w:val="6"/>
      </w:numPr>
      <w:adjustRightInd w:val="0"/>
      <w:textAlignment w:val="auto"/>
    </w:pPr>
    <w:rPr>
      <w:rFonts w:eastAsia="STZhongsong"/>
      <w:b/>
      <w:sz w:val="22"/>
      <w:szCs w:val="22"/>
      <w:lang w:eastAsia="zh-CN"/>
    </w:rPr>
  </w:style>
  <w:style w:type="paragraph" w:customStyle="1" w:styleId="GPSL1SCHEDULEHeading">
    <w:name w:val="GPS L1 SCHEDULE Heading"/>
    <w:basedOn w:val="Normal"/>
    <w:qFormat/>
    <w:rsid w:val="00B52BEC"/>
    <w:pPr>
      <w:numPr>
        <w:numId w:val="6"/>
      </w:numPr>
      <w:tabs>
        <w:tab w:val="left" w:pos="142"/>
      </w:tabs>
      <w:adjustRightInd w:val="0"/>
      <w:spacing w:before="120" w:after="240"/>
      <w:jc w:val="both"/>
      <w:textAlignment w:val="auto"/>
    </w:pPr>
    <w:rPr>
      <w:rFonts w:eastAsia="STZhongsong" w:cs="Arial"/>
      <w:b/>
      <w:caps/>
      <w:sz w:val="22"/>
      <w:szCs w:val="22"/>
      <w:lang w:eastAsia="zh-CN"/>
    </w:rPr>
  </w:style>
  <w:style w:type="table" w:customStyle="1" w:styleId="a1">
    <w:basedOn w:val="TableNormal"/>
    <w:tblPr>
      <w:tblStyleRowBandSize w:val="1"/>
      <w:tblStyleColBandSize w:val="1"/>
      <w:tblCellMar>
        <w:left w:w="103" w:type="dxa"/>
      </w:tblCellMar>
    </w:tblPr>
  </w:style>
  <w:style w:type="table" w:customStyle="1" w:styleId="a2">
    <w:basedOn w:val="TableNormal"/>
    <w:tblPr>
      <w:tblStyleRowBandSize w:val="1"/>
      <w:tblStyleColBandSize w:val="1"/>
      <w:tblCellMar>
        <w:left w:w="103" w:type="dxa"/>
      </w:tblCellMar>
    </w:tblPr>
  </w:style>
  <w:style w:type="table" w:customStyle="1" w:styleId="a3">
    <w:basedOn w:val="TableNormal"/>
    <w:tblPr>
      <w:tblStyleRowBandSize w:val="1"/>
      <w:tblStyleColBandSize w:val="1"/>
      <w:tblCellMar>
        <w:left w:w="103" w:type="dxa"/>
      </w:tblCellMar>
    </w:tblPr>
  </w:style>
  <w:style w:type="table" w:customStyle="1" w:styleId="a4">
    <w:basedOn w:val="TableNormal"/>
    <w:tblPr>
      <w:tblStyleRowBandSize w:val="1"/>
      <w:tblStyleColBandSize w:val="1"/>
      <w:tblCellMar>
        <w:left w:w="103" w:type="dxa"/>
      </w:tblCellMar>
    </w:tblPr>
  </w:style>
  <w:style w:type="table" w:customStyle="1" w:styleId="a5">
    <w:basedOn w:val="TableNormal"/>
    <w:tblPr>
      <w:tblStyleRowBandSize w:val="1"/>
      <w:tblStyleColBandSize w:val="1"/>
      <w:tblCellMar>
        <w:left w:w="103" w:type="dxa"/>
      </w:tblCellMar>
    </w:tblPr>
  </w:style>
  <w:style w:type="table" w:customStyle="1" w:styleId="a6">
    <w:basedOn w:val="TableNormal"/>
    <w:tblPr>
      <w:tblStyleRowBandSize w:val="1"/>
      <w:tblStyleColBandSize w:val="1"/>
      <w:tblCellMar>
        <w:left w:w="10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TT7ZVkpPhIlSp9GPwIQGzeIEog==">CgMxLjAaJwoBMBIiCiAIBCocCgtBQUFCT1FLSXoxSRAIGgtBQUFCT1FLSXoxSRonCgExEiIKIAgEKhwKC0FBQUJPUUtJejFJEAgaC0FBQUJPUUtJejFjGhoKATISFQoTCAQqDwoLQUFBQk9RS0l6MUEQARoaCgEzEhUKEwgEKg8KC0FBQUJPUUtJejFBEAEaJwoBNBIiCiAIBCocCgtBQUFCT1FLSXowNBAIGgtBQUFCT1FLSXowNBoaCgE1EhUKEwgEKg8KC0FBQUJPUUtJejFBEAEaGgoBNhIVChMIBCoPCgtBQUFCT1FLSXoxQRABGicKATcSIgogCAQqHAoLQUFBQk9RS0l6MkEQCBoLQUFBQk9RS0l6MkEaGgoBOBIVChMIBCoPCgtBQUFCT1FLSXoxQRABGhoKATkSFQoTCAQqDwoLQUFBQk9RS0l6MUEQARooCgIxMBIiCiAIBCocCgtBQUFCT1FLSXoxdxAIGgtBQUFCT1FLSXoxdxobCgIxMRIVChMIBCoPCgtBQUFCT1FLSXoxQRABGhsKAjEyEhUKEwgEKg8KC0FBQUJPUUtJejFBEAIaGwoCMTMSFQoTCAQqDwoLQUFBQk9RS0l6MUEQAhobCgIxNBIVChMIBCoPCgtBQUFCT1FLSXoxQRACGhsKAjE1EhUKEwgEKg8KC0FBQUJPUUtJejFBEAIaKAoCMTYSIgogCAQqHAoLQUFBQk9RS0l6MVkQCBoLQUFBQk9RS0l6MVkaKAoCMTcSIgogCAQqHAoLQUFBQk9RS0l6MVkQCBoLQUFBQk9RS0l6MkkaGwoCMTgSFQoTCAQqDwoLQUFBQk9RS0l6MUEQAhobCgIxORIVChMIBCoPCgtBQUFCT1FLSXoxQRABGhsKAjIwEhUKEwgEKg8KC0FBQUJPUUtJejFBEAEaKAoCMjESIgogCAQqHAoLQUFBQk9RS0l6MDAQCBoLQUFBQk9RS0l6MDAaKAoCMjISIgogCAQqHAoLQUFBQk9RS0l6MDAQCBoLQUFBQk9RS0l6MmcaGwoCMjMSFQoTCAQqDwoLQUFBQk9RS0l6MVEQARobCgIyNBIVChMIBCoPCgtBQUFCT1FLSXoxURABGhsKAjI1EhUKEwgEKg8KC0FBQUJPUUtJejFREAEaGwoCMjYSFQoTCAQqDwoLQUFBQk9RS0l6MVEQARobCgIyNxIVChMIBCoPCgtBQUFCT1FLSXoxURABGhsKAjI4EhUKEwgEKg8KC0FBQUJPUUtJejFREAEaGwoCMjkSFQoTCAQqDwoLQUFBQk9RS0l6MVEQARobCgIzMBIVChMIBCoPCgtBQUFCT1FLSXoxURABGhsKAjMxEhUKEwgEKg8KC0FBQUJPUUtJejFVEAIaGwoCMzISFQoTCAQqDwoLQUFBQk9RS0l6MVUQAhooCgIzMxIiCiAIBCocCgtBQUFCT1FLSXowdxAIGgtBQUFCT1FLSXowdxooCgIzNBIiCiAIBCocCgtBQUFCT1FLSXowdxAIGgtBQUFCT1FLSXoyaxobCgIzNRIVChMIBCoPCgtBQUFCT1FLSXoxVRACGhsKAjM2EhUKEwgEKg8KC0FBQUJPUUtJejFVEAIaGwoCMzcSFQoTCAQqDwoLQUFBQk9RS0l6MVUQAhobCgIzOBIVChMIBCoPCgtBQUFCT1FLSXoxVRACGhsKAjM5EhUKEwgEKg8KC0FBQUJPUUtJejFVEAIaGwoCNDASFQoTCAQqDwoLQUFBQk9RS0l6MVUQAhobCgI0MRIVChMIBCoPCgtBQUFCT1FLSXoxVRACGhsKAjQyEhUKEwgEKg8KC0FBQUJPUUtJejFVEAIaGwoCNDMSFQoTCAQqDwoLQUFBQk9RS0l6MVUQAhobCgI0NBIVChMIBCoPCgtBQUFCT1FLSXoxVRACGhsKAjQ1EhUKEwgEKg8KC0FBQUJPUUtJejFVEAIaGwoCNDYSFQoTCAQqDwoLQUFBQk9RS0l6MVUQAhobCgI0NxIVChMIBCoPCgtBQUFCT1FLSXoxVRACGhsKAjQ4EhUKEwgEKg8KC0FBQUJPUUtJejFVEAIaGwoCNDkSFQoTCAQqDwoLQUFBQk9RS0l6MVUQAhobCgI1MBIVChMIBCoPCgtBQUFCT1FLSXoxVRACGhsKAjUxEhUKEwgEKg8KC0FBQUJPUUtJejFVEAIaGwoCNTISFQoTCAQqDwoLQUFBQk9RS0l6MVUQAhobCgI1MxIVChMIBCoPCgtBQUFCT1FLSXoxVRACGhsKAjU0EhUKEwgEKg8KC0FBQUJPUUtJejFVEAIaGwoCNTUSFQoTCAQqDwoLQUFBQk9RS0l6MVUQAhobCgI1NhIVChMIBCoPCgtBQUFCT1FLSXoxVRACGhsKAjU3EhUKEwgEKg8KC0FBQUJPUUtJejFVEAIaGwoCNTgSFQoTCAQqDwoLQUFBQk9RS0l6MVUQAhobCgI1ORIVChMIBCoPCgtBQUFCT1FLSXoxVRACGhsKAjYwEhUKEwgEKg8KC0FBQUJPUUtJejFVEAIaGwoCNjESFQoTCAQqDwoLQUFBQk9RS0l6MVUQAhobCgI2MhIVChMIBCoPCgtBQUFCT1FLSXowOBACGhsKAjYzEhUKEwgEKg8KC0FBQUJPUUtJejA4EAIaKAoCNjQSIgogCAQqHAoLQUFBQk9RS0l6MnMQCBoLQUFBQk9RS0l6MnMaKAoCNjUSIgogCAQqHAoLQUFBQk9RS0l6MU0QCBoLQUFBQk9RS0l6MU0aGwoCNjYSFQoTCAQqDwoLQUFBQk9RS0l6MDgQAhobCgI2NxIVChMIBCoPCgtBQUFCT1FLSXowOBACGigKAjY4EiIKIAgEKhwKC0FBQUJPUUtJejFFEAgaC0FBQUJPUUtJejFFGhsKAjY5EhUKEwgEKg8KC0FBQUJPUUtJejA4EAIaKAoCNzASIgogCAQqHAoLQUFBQk9RS0l6MjgQCBoLQUFBQk9RS0l6MjgiswIKC0FBQUJPUUtJejFFEogCCgtBQUFCT1FLSXoxRRILQUFBQk9RS0l6MUUaFQoJdGV4dC9odG1sEghBcyBhYm92ZSIWCgp0ZXh0L3BsYWluEghBcyBhYm92ZSpFCgxTaW1vbiBIYXJyaXMaNS8vc3NsLmdzdGF0aWMuY29tL2RvY3MvY29tbW9uL2JsdWVfc2lsaG91ZXR0ZTk2LTAucG5nMKD+kKGFMjig/pChhTJyRwoMU2ltb24gSGFycmlzGjcKNS8vc3NsLmdzdGF0aWMuY29tL2RvY3MvY29tbW9uL2JsdWVfc2lsaG91ZXR0ZTk2LTAucG5neACIAQGaAQYIABAAGACqAQoSCEFzIGFib3ZlsAEAuAEBGKD+kKGFMiCg/pChhTIwAEIJa2l4LmNtdDE3IowFCgtBQUFCT1FLSXoxQRK1BAoLQUFBQk9RS0l6MUESC0FBQUJPUUtJejFBGg0KCXRleHQvaHRtbBIAIg4KCnRleHQvcGxhaW4SACpFCgxTaW1vbiBIYXJyaXMaNS8vc3NsLmdzdGF0aWMuY29tL2RvY3MvY29tbW9uL2JsdWVfc2lsaG91ZXR0ZTk2LTAucG5nMMCGw4WFMjjAhsOFhTJKjwIKJGFwcGxpY2F0aW9uL3ZuZC5nb29nbGUtYXBwcy5kb2NzLm1kcxrmAcLX2uQB3wEK3AEKagpkU3BlY2lhbCBUZXJtIDk6IENsYXVzZSAxMC42LjM6IChjKSBlYWNoIFBhcnR5IHdpbGwsIGZvbGxvd2luZyBhIHJlYXNvbmFibGUgcmVxdWVzdCBieSB0aGUgb3RoZXIgUGFydBABGAESbApmU3BlY2lhbCBUZXJtIDEwIOKAkyBDbGF1c2UgMjAuMzogSWYgYSBGb3JjZSBNYWpldXJlIEV2ZW50IG9jY3VycywgdGhlIFBhcnRpZXMgd2lsbCB1c2UgYWxsIHJlYXNvbmFibGUgEAEYARgBckcKDFNpbW9uIEhhcnJpcxo3CjUvL3NzbC5nc3RhdGljLmNvbS9kb2NzL2NvbW1vbi9ibHVlX3NpbGhvdWV0dGU5Ni0wLnBuZ3gAggE1c3VnZ2VzdElkSW1wb3J0YTJjYjNhYTgtOThiYi00YzlhLWFkNTktYTQ3YWMxYjRhZmEyXzGIAQGaAQYIABAAGACwAQC4AQEYwIbDhYUyIMCGw4WFMjAAQjVzdWdnZXN0SWRJbXBvcnRhMmNiM2FhOC05OGJiLTRjOWEtYWQ1OS1hNDdhYzFiNGFmYTJfMSLTBAoLQUFBQk9RS0l6MkESoQQKC0FBQUJPUUtJejJBEgtBQUFCT1FLSXoyQRqVAQoJdGV4dC9odG1sEocBVGhpcyBpcyBhbHJlYWR5IGNvdmVyZWQgaW4gMTAuNi4xIGQgYW5kIGUgb2YgdGhlIENvcmUgVGVybXMgc28gSSYjMzk7bSBub3Qgc3VyZSB3aHkgaXQmIzM5O3MgYmVpbmcgaW5jbHVkZWTCoGFnYWluIGhlcmUuIFBsZWFzZSByZW1vdmUuIo0BCgp0ZXh0L3BsYWluEn9UaGlzIGlzIGFscmVhZHkgY292ZXJlZCBpbiAxMC42LjEgZCBhbmQgZSBvZiB0aGUgQ29yZSBUZXJtcyBzbyBJJ20gbm90IHN1cmUgd2h5IGl0J3MgYmVpbmcgaW5jbHVkZWTCoGFnYWluIGhlcmUuIFBsZWFzZSByZW1vdmUuKhsiFTEwMDAxMzc4Nzc3ODI1NjEwMTAzMygAOAAwotrpsIUyOKLa6bCFMloMcTVhNGQyaTIwb2RycgIgAHgAiAECmgEGCAAQABgAqgGKARKHAVRoaXMgaXMgYWxyZWFkeSBjb3ZlcmVkIGluIDEwLjYuMSBkIGFuZCBlIG9mIHRoZSBDb3JlIFRlcm1zIHNvIEkmIzM5O20gbm90IHN1cmUgd2h5IGl0JiMzOTtzIGJlaW5nIGluY2x1ZGVkwqBhZ2FpbiBoZXJlLiBQbGVhc2UgcmVtb3ZlLrABALgBARii2umwhTIgotrpsIUyMABCEGtpeC5vZWltd3RxM2RmdHAinQQKC0FBQUJPUUtJejA4EsUDCgtBQUFCT1FLSXowOBILQUFBQk9RS0l6MDgaDQoJdGV4dC9odG1sEgAiDgoKdGV4dC9wbGFpbhIAKkUKDFNpbW9uIEhhcnJpcxo1Ly9zc2wuZ3N0YXRpYy5jb20vZG9jcy9jb21tb24vYmx1ZV9zaWxob3VldHRlOTYtMC5wbmcwwKmNoYUyOMCpjaGFMkqeAQokYXBwbGljYXRpb24vdm5kLmdvb2dsZS1hcHBzLmRvY3MubWRzGnbC19rkAXASbgpqCmRDbGF1c2UgMy4yLjM6IFRoZSBTdXBwbGllciB0cmFuc2ZlcnMgb3duZXJzaGlwIG9mIHRoZSBHb29kcyBvbiBEZWxpdmVyeSBvciBwYXltZW50IGZvciB0aG9zZSBHb29kcywgEAEYARABckcKDFNpbW9uIEhhcnJpcxo3CjUvL3NzbC5nc3RhdGljLmNvbS9kb2NzL2NvbW1vbi9ibHVlX3NpbGhvdWV0dGU5Ni0wLnBuZ3gAggE2c3VnZ2VzdElkSW1wb3J0YTJjYjNhYTgtOThiYi00YzlhLWFkNTktYTQ3YWMxYjRhZmEyXzY2iAEBmgEGCAAQABgAsAEAuAEBGMCpjaGFMiDAqY2hhTIwAEI2c3VnZ2VzdElkSW1wb3J0YTJjYjNhYTgtOThiYi00YzlhLWFkNTktYTQ3YWMxYjRhZmEyXzY2IscLCgtBQUFCT1FLSXoxWRKcCwoLQUFBQk9RS0l6MVkSC0FBQUJPUUtJejFZGpoCCgl0ZXh0L2h0bWwSjAJUaGlzIHdhcyB0YWtlbiBmcm9tIHRoZSBTcGVjaWFsIFNjaGVkdWxlLCBidXQgd2UgZG8gbm90IHN1Z2dlc3QgdGhhdCBpdCBpcyByZXRhaW5lZCBvbiByZWZsZWN0aW9uIGFuZCBpbiBvcmRlciB0byBzdHJlYW1saW5lIHRoZSBGcmFtZXdvcmsgQXdhcmQgRm9ybS4gVGhlIFBhcnRpZXMgd2lsbCBiZSByZXF1aXJlZCB0byB1c2UgcmVhc29uYWJsZSBlbmRlYXZvdXJzIHRvIHByZXZlbnQgYW5kIG1pdGlnYXRlIHRoZSBpbXBhY3Qgb2YgYSBmb3JjZSBtYWpldXJlIGV2ZW50IpsCCgp0ZXh0L3BsYWluEowCVGhpcyB3YXMgdGFrZW4gZnJvbSB0aGUgU3BlY2lhbCBTY2hlZHVsZSwgYnV0IHdlIGRvIG5vdCBzdWdnZXN0IHRoYXQgaXQgaXMgcmV0YWluZWQgb24gcmVmbGVjdGlvbiBhbmQgaW4gb3JkZXIgdG8gc3RyZWFtbGluZSB0aGUgRnJhbWV3b3JrIEF3YXJkIEZvcm0uIFRoZSBQYXJ0aWVzIHdpbGwgYmUgcmVxdWlyZWQgdG8gdXNlIHJlYXNvbmFibGUgZW5kZWF2b3VycyB0byBwcmV2ZW50IGFuZCBtaXRpZ2F0ZSB0aGUgaW1wYWN0IG9mIGEgZm9yY2UgbWFqZXVyZSBldmVudCpFCgxTaW1vbiBIYXJyaXMaNS8vc3NsLmdzdGF0aWMuY29tL2RvY3MvY29tbW9uL2JsdWVfc2lsaG91ZXR0ZTk2LTAucG5nMODUiaGFMjic7vGwhTJC/wIKC0FBQUJPUUtJejJJEgtBQUFCT1FLSXoxWRpdCgl0ZXh0L2h0bWwSUElzIHRoaXMgc3RpbGwgY292ZXJlZCBpbiB0aGUgU3BlY2lhbCBTY2hlZHVsZT8gSXQgbmVlZHMgdG8gYmUgY292ZXJlZCBzb21ld2hlcmUuIl4KCnRleHQvcGxhaW4SUElzIHRoaXMgc3RpbGwgY292ZXJlZCBpbiB0aGUgU3BlY2lhbCBTY2hlZHVsZT8gSXQgbmVlZHMgdG8gYmUgY292ZXJlZCBzb21ld2hlcmUuKhsiFTEwMDAxMzc4Nzc3ODI1NjEwMTAzMygAOAAwnO7xsIUyOJzu8bCFMloMcGt0dHNxODA4dWY3cgIgAHgAiAECmgEGCAAQABgAqgFSElBJcyB0aGlzIHN0aWxsIGNvdmVyZWQgaW4gdGhlIFNwZWNpYWwgU2NoZWR1bGU/IEl0IG5lZWRzIHRvIGJlIGNvdmVyZWQgc29tZXdoZXJlLrABALgBAXJHCgxTaW1vbiBIYXJyaXMaNwo1Ly9zc2wuZ3N0YXRpYy5jb20vZG9jcy9jb21tb24vYmx1ZV9zaWxob3VldHRlOTYtMC5wbmd4AIgBAZoBBggAEAAYAKoBjwISjAJUaGlzIHdhcyB0YWtlbiBmcm9tIHRoZSBTcGVjaWFsIFNjaGVkdWxlLCBidXQgd2UgZG8gbm90IHN1Z2dlc3QgdGhhdCBpdCBpcyByZXRhaW5lZCBvbiByZWZsZWN0aW9uIGFuZCBpbiBvcmRlciB0byBzdHJlYW1saW5lIHRoZSBGcmFtZXdvcmsgQXdhcmQgRm9ybS4gVGhlIFBhcnRpZXMgd2lsbCBiZSByZXF1aXJlZCB0byB1c2UgcmVhc29uYWJsZSBlbmRlYXZvdXJzIHRvIHByZXZlbnQgYW5kIG1pdGlnYXRlIHRoZSBpbXBhY3Qgb2YgYSBmb3JjZSBtYWpldXJlIGV2ZW50sAEAuAEBGODUiaGFMiCc7vGwhTIwAEIJa2l4LmNtdDEwIoMPCgtBQUFCT1FLSXowdxLYDgoLQUFBQk9RS0l6MHcSC0FBQUJPUUtJejB3GqoCCgl0ZXh0L2h0bWwSnAJJbiBvcmRlciB0byBzaW1wbGlmeSB0aGUgQXdhcmQgRm9ybSwgd2UgcmVjb21tZW5kIHRoYXQgdGhpcyBTcGVjaWFsIFRlcm0gaXMgaW5jb3Jwb3JhdGVkIGludG8gdGhlIFNwZWNpYWwgU2NoZWR1bGVzLiBXZSBoYXZlIGluY2x1ZGVkIGl0IGFzIFBhcmFncmFwaCA4LjE2IGluIENhbGwgT2ZmIFNjaGVkdWxlIDI1IChTcGVjaWFsIFNjaGVkdWxlIOKAkyBMb3RzIDEgdG8gNCksIGFuZCBQYXJhZ3JhcGggMTkgb2YgQ2FsbCBPZmYgU2NoZWR1bGUgMjYgKFNwZWNpYWwgU2NoZWR1bGUg4oCTIExvdCA1KSKrAgoKdGV4dC9wbGFpbhKcAkluIG9yZGVyIHRvIHNpbXBsaWZ5IHRoZSBBd2FyZCBGb3JtLCB3ZSByZWNvbW1lbmQgdGhhdCB0aGlzIFNwZWNpYWwgVGVybSBpcyBpbmNvcnBvcmF0ZWQgaW50byB0aGUgU3BlY2lhbCBTY2hlZHVsZXMuIFdlIGhhdmUgaW5jbHVkZWQgaXQgYXMgUGFyYWdyYXBoIDguMTYgaW4gQ2FsbCBPZmYgU2NoZWR1bGUgMjUgKFNwZWNpYWwgU2NoZWR1bGUg4oCTIExvdHMgMSB0byA0KSwgYW5kIFBhcmFncmFwaCAxOSBvZiBDYWxsIE9mZiBTY2hlZHVsZSAyNiAoU3BlY2lhbCBTY2hlZHVsZSDigJMgTG90IDUpKkUKDFNpbW9uIEhhcnJpcxo1Ly9zc2wuZ3N0YXRpYy5jb20vZG9jcy9jb21tb24vYmx1ZV9zaWxob3VldHRlOTYtMC5wbmcwoLrfqoUyOKeRprGFMkKLBgoLQUFBQk9RS0l6MmsSC0FBQUJPUUtJejB3GuABCgl0ZXh0L2h0bWwS0gFBZ3JlZSB0byByZW1vdmUgaXQgZnJvbSB0aGUgZnJhbWV3b3JrIGF3YXJkIGZvcm0gYW5kIHRvIGNvdmVyIGluIHRoZSBzcGVjaWFsIHNjaGVkdWxlcyBidXQgbm90ZSB0aGF0IGZvciBjYXIgcGFya2luZyBzY2hlZHVsZSBzb21lIGVsZW1lbnRzIGFyZSBhbHJlYWR5IGNvdmVyZWQgaW4gcGFyYSAxNS7CoCBQbGVhc2UgY291bGQgeW91IHJldmlldyBhbmQgYWRkcmVzcy4i4QEKCnRleHQvcGxhaW4S0gFBZ3JlZSB0byByZW1vdmUgaXQgZnJvbSB0aGUgZnJhbWV3b3JrIGF3YXJkIGZvcm0gYW5kIHRvIGNvdmVyIGluIHRoZSBzcGVjaWFsIHNjaGVkdWxlcyBidXQgbm90ZSB0aGF0IGZvciBjYXIgcGFya2luZyBzY2hlZHVsZSBzb21lIGVsZW1lbnRzIGFyZSBhbHJlYWR5IGNvdmVyZWQgaW4gcGFyYSAxNS7CoCBQbGVhc2UgY291bGQgeW91IHJldmlldyBhbmQgYWRkcmVzcy4qGyIVMTAwMDEzNzg3Nzc4MjU2MTAxMDMzKAA4ADD63aSxhTI4p5GmsYUyWgxkYXVlcDNhbzFsOWxyAiAAeACIAQKaAQYIABAAGACqAdUBEtIBQWdyZWUgdG8gcmVtb3ZlIGl0IGZyb20gdGhlIGZyYW1ld29yayBhd2FyZCBmb3JtIGFuZCB0byBjb3ZlciBpbiB0aGUgc3BlY2lhbCBzY2hlZHVsZXMgYnV0IG5vdGUgdGhhdCBmb3IgY2FyIHBhcmtpbmcgc2NoZWR1bGUgc29tZSBlbGVtZW50cyBhcmUgYWxyZWFkeSBjb3ZlcmVkIGluIHBhcmEgMTUuwqAgUGxlYXNlIGNvdWxkIHlvdSByZXZpZXcgYW5kIGFkZHJlc3MusAEAuAEBckcKDFNpbW9uIEhhcnJpcxo3CjUvL3NzbC5nc3RhdGljLmNvbS9kb2NzL2NvbW1vbi9ibHVlX3NpbGhvdWV0dGU5Ni0wLnBuZ3gAiAEBmgEGCAAQABgAqgGfAhKcAkluIG9yZGVyIHRvIHNpbXBsaWZ5IHRoZSBBd2FyZCBGb3JtLCB3ZSByZWNvbW1lbmQgdGhhdCB0aGlzIFNwZWNpYWwgVGVybSBpcyBpbmNvcnBvcmF0ZWQgaW50byB0aGUgU3BlY2lhbCBTY2hlZHVsZXMuIFdlIGhhdmUgaW5jbHVkZWQgaXQgYXMgUGFyYWdyYXBoIDguMTYgaW4gQ2FsbCBPZmYgU2NoZWR1bGUgMjUgKFNwZWNpYWwgU2NoZWR1bGUg4oCTIExvdHMgMSB0byA0KSwgYW5kIFBhcmFncmFwaCAxOSBvZiBDYWxsIE9mZiBTY2hlZHVsZSAyNiAoU3BlY2lhbCBTY2hlZHVsZSDigJMgTG90IDUpsAEAuAEBGKC636qFMiCnkaaxhTIwAEIJa2l4LmNtdDE0IogICgtBQUFCT1FLSXowNBLeBwoLQUFBQk9RS0l6MDQSC0FBQUJPUUtJejA0GoYCCgl0ZXh0L2h0bWwS+AFBcyBkaXNjdXNzZWQgb24gb3VyIGNhbGwgb2YgMjUuNi4yNCwgd2UgaGF2ZSBhZGRlZCBuZXcgQ2xhdXNlcyAoYykgYW5kIChkKSB0byBiZSBpbnNlcnRlZCBpbnRvIENsYXVzZSAxMC42LjMgdW5kZXIgdGhlIHRoaXMgc2VjdGlvbiwgYW5kIG5vdCBsaXN0ZWQgdW5kZXIgdGhlIGZpcnN0IGhlYWRpbmcgd2hlcmUgd2UgcHJldmlvdXNseSByZXBlYXRlZCBDbGF1c2UgMTAuNi4zIChhKSBhbmQgKGIpLCBhbmQgdGhlbiAoYykgYW5kIChkKSKHAgoKdGV4dC9wbGFpbhL4AUFzIGRpc2N1c3NlZCBvbiBvdXIgY2FsbCBvZiAyNS42LjI0LCB3ZSBoYXZlIGFkZGVkIG5ldyBDbGF1c2VzIChjKSBhbmQgKGQpIHRvIGJlIGluc2VydGVkIGludG8gQ2xhdXNlIDEwLjYuMyB1bmRlciB0aGUgdGhpcyBzZWN0aW9uLCBhbmQgbm90IGxpc3RlZCB1bmRlciB0aGUgZmlyc3QgaGVhZGluZyB3aGVyZSB3ZSBwcmV2aW91c2x5IHJlcGVhdGVkIENsYXVzZSAxMC42LjMgKGEpIGFuZCAoYiksIGFuZCB0aGVuIChjKSBhbmQgKGQpKkUKDFNpbW9uIEhhcnJpcxo1Ly9zc2wuZ3N0YXRpYy5jb20vZG9jcy9jb21tb24vYmx1ZV9zaWxob3VldHRlOTYtMC5wbmcwwLjqqoUyOMC46qqFMnJHCgxTaW1vbiBIYXJyaXMaNwo1Ly9zc2wuZ3N0YXRpYy5jb20vZG9jcy9jb21tb24vYmx1ZV9zaWxob3VldHRlOTYtMC5wbmd4AIgBAZoBBggAEAAYAKoB+wES+AFBcyBkaXNjdXNzZWQgb24gb3VyIGNhbGwgb2YgMjUuNi4yNCwgd2UgaGF2ZSBhZGRlZCBuZXcgQ2xhdXNlcyAoYykgYW5kIChkKSB0byBiZSBpbnNlcnRlZCBpbnRvIENsYXVzZSAxMC42LjMgdW5kZXIgdGhlIHRoaXMgc2VjdGlvbiwgYW5kIG5vdCBsaXN0ZWQgdW5kZXIgdGhlIGZpcnN0IGhlYWRpbmcgd2hlcmUgd2UgcHJldmlvdXNseSByZXBlYXRlZCBDbGF1c2UgMTAuNi4zIChhKSBhbmQgKGIpLCBhbmQgdGhlbiAoYykgYW5kIChkKbABALgBARjAuOqqhTIgwLjqqoUyMABCCGtpeC5jbXQ4Ip8ECgtBQUFCT1FLSXoxVRLHAwoLQUFBQk9RS0l6MVUSC0FBQUJPUUtJejFVGg0KCXRleHQvaHRtbBIAIg4KCnRleHQvcGxhaW4SACpFCgxTaW1vbiBIYXJyaXMaNS8vc3NsLmdzdGF0aWMuY29tL2RvY3MvY29tbW9uL2JsdWVfc2lsaG91ZXR0ZTk2LTAucG5nMIDR0KmFMjiA0dCphTJKoAEKJGFwcGxpY2F0aW9uL3ZuZC5nb29nbGUtYXBwcy5kb2NzLm1kcxp4wtfa5AFyEnAKbApmU3BlY2lhbCBUZXJtIOKAkyBDbGF1c2UgMjkuMzogVGhlIFN1cHBsaWVyIHNoYWxsOiAyOS4zLjEgcHJvdmlkZSBwcm9wZXIgdHJhaW5pbmcgaW4gcmVsYXRpb24gdG8gdGhlIFJlEAEYARABckcKDFNpbW9uIEhhcnJpcxo3CjUvL3NzbC5nc3RhdGljLmNvbS9kb2NzL2NvbW1vbi9ibHVlX3NpbGhvdWV0dGU5Ni0wLnBuZ3gAggE2c3VnZ2VzdElkSW1wb3J0YTJjYjNhYTgtOThiYi00YzlhLWFkNTktYTQ3YWMxYjRhZmEyXzM4iAEBmgEGCAAQABgAsAEAuAEBGIDR0KmFMiCA0dCphTIwAEI2c3VnZ2VzdElkSW1wb3J0YTJjYjNhYTgtOThiYi00YzlhLWFkNTktYTQ3YWMxYjRhZmEyXzM4IpADCgtBQUFCT1FLSXoxdxLeAgoLQUFBQk9RS0l6MXcSC0FBQUJPUUtJejF3GlIKCXRleHQvaHRtbBJFVGhpcyBpcyBjb3ZlcmVkIGluIFNwZWNpYWwgVGVybSA4IC0gcGxlYXNlIGRlbGV0ZSBkIG9mIHNwZWNpYWwgdGVybSA5IlMKCnRleHQvcGxhaW4SRVRoaXMgaXMgY292ZXJlZCBpbiBTcGVjaWFsIFRlcm0gOCAtIHBsZWFzZSBkZWxldGUgZCBvZiBzcGVjaWFsIHRlcm0gOSobIhUxMDAwMTM3ODc3NzgyNTYxMDEwMzMoADgAMKDY1bCFMjig2NWwhTJaDHhiZG85aGpqcnBwcHICIAB4AIgBApoBBggAEAAYAKoBRxJFVGhpcyBpcyBjb3ZlcmVkIGluIFNwZWNpYWwgVGVybSA4IC0gcGxlYXNlIGRlbGV0ZSBkIG9mIHNwZWNpYWwgdGVybSA5sAEAuAEBGKDY1bCFMiCg2NWwhTIwAEIQa2l4LnYyZGM5cWFzcXRxbCL6CAoLQUFBQk9RS0l6MjgSyAgKC0FBQUJPUUtJejI4EgtBQUFCT1FLSXoyOBrLAgoJdGV4dC9odG1sEr0CSnVzdCBsb29raW5nIGF0IHRoaXMgb25lIC0gdGhpcyB3b3VsZCBvbmx5IGFwcGx5IHRvIExvdCA1IGJ1dCBhcmUgd2Ugc2F5aW5nIGl0JiMzOTtzIHRvIGJlIGRlbGV0ZWQgZnJvbSB0aGUgQ29yZSBUZXJtcyBiZWNhdXNlIEJ1eWVycyB3aWxsIGJlIHBheWluZyBhIGZpeGVkIG1hbmFnZW1lbnQgZmVlPyBXb3VsZCBpdCBub3Qgc3RpbGwgYmUgcmVsZXZhbnQgZm9yIHRoZW0gdG8gaGF2ZSB0aGUgcmlnaHQgdG8gd2l0aGhvbGTCoHBheW1lbnQ/IEFzc3VtaW5nIGl0IHdvdWxkIGJlIHJlbGV2YW50IEkgdGhpbmvCoHdlIHNob3VsZCBub3QgZGVsZXRlwqBpdC4iyAIKCnRleHQvcGxhaW4SuQJKdXN0IGxvb2tpbmcgYXQgdGhpcyBvbmUgLSB0aGlzIHdvdWxkIG9ubHkgYXBwbHkgdG8gTG90IDUgYnV0IGFyZSB3ZSBzYXlpbmcgaXQncyB0byBiZSBkZWxldGVkIGZyb20gdGhlIENvcmUgVGVybXMgYmVjYXVzZSBCdXllcnMgd2lsbCBiZSBwYXlpbmcgYSBmaXhlZCBtYW5hZ2VtZW50IGZlZT8gV291bGQgaXQgbm90IHN0aWxsIGJlIHJlbGV2YW50IGZvciB0aGVtIHRvIGhhdmUgdGhlIHJpZ2h0IHRvIHdpdGhob2xkwqBwYXltZW50PyBBc3N1bWluZyBpdCB3b3VsZCBiZSByZWxldmFudCBJIHRoaW5rwqB3ZSBzaG91bGQgbm90IGRlbGV0ZcKgaXQuKhsiFTEwMDAxMzc4Nzc3ODI1NjEwMTAzMygAOAAw2ebXsYUyONnm17GFMloMY3F4MmZyMnlrYmt2cgIgAHgAiAECmgEGCAAQABgAqgHAAhK9Akp1c3QgbG9va2luZyBhdCB0aGlzIG9uZSAtIHRoaXMgd291bGQgb25seSBhcHBseSB0byBMb3QgNSBidXQgYXJlIHdlIHNheWluZyBpdCYjMzk7cyB0byBiZSBkZWxldGVkIGZyb20gdGhlIENvcmUgVGVybXMgYmVjYXVzZSBCdXllcnMgd2lsbCBiZSBwYXlpbmcgYSBmaXhlZCBtYW5hZ2VtZW50IGZlZT8gV291bGQgaXQgbm90IHN0aWxsIGJlIHJlbGV2YW50IGZvciB0aGVtIHRvIGhhdmUgdGhlIHJpZ2h0IHRvIHdpdGhob2xkwqBwYXltZW50PyBBc3N1bWluZyBpdCB3b3VsZCBiZSByZWxldmFudCBJIHRoaW5rwqB3ZSBzaG91bGQgbm90IGRlbGV0ZcKgaXQusAEAuAEBGNnm17GFMiDZ5texhTIwAEIQa2l4LnE3bzQ0eG9scHEzbSLbCwoLQUFBQk9RS0l6MDASsAsKC0FBQUJPUUtJejAwEgtBQUFCT1FLSXowMBqwAQoJdGV4dC9odG1sEqIBVGhpcyBTcGVjaWFsIFRlcm0gaXMgaW5jbHVkZWQgZm9sbG93aW5nIG91ciByZXZpZXcgb2Ygd2hhdCB3YXMgcHJldmlvdXNseSBQYXJhZ3JhcGggMTEgKEFzc2lnbm1lbnQgYW5kIFN1Yi1Db250cmFjdGluZykgb2YgQ2FsbCBPZmYgU2NoZWR1bGUgMjUgKFNwZWNpYWwgU2NoZWR1bGUpIrEBCgp0ZXh0L3BsYWluEqIBVGhpcyBTcGVjaWFsIFRlcm0gaXMgaW5jbHVkZWQgZm9sbG93aW5nIG91ciByZXZpZXcgb2Ygd2hhdCB3YXMgcHJldmlvdXNseSBQYXJhZ3JhcGggMTEgKEFzc2lnbm1lbnQgYW5kIFN1Yi1Db250cmFjdGluZykgb2YgQ2FsbCBPZmYgU2NoZWR1bGUgMjUgKFNwZWNpYWwgU2NoZWR1bGUpKkUKDFNpbW9uIEhhcnJpcxo1Ly9zc2wuZ3N0YXRpYy5jb20vZG9jcy9jb21tb24vYmx1ZV9zaWxob3VldHRlOTYtMC5wbmcw4JDYqoUyOJ6fkbGFMkLRBQoLQUFBQk9RS0l6MmcSC0FBQUJPUUtJejAwGs4BCgl0ZXh0L2h0bWwSwAFJcyB0aGlzIG5vdCBjb3ZlcmVkIGVsc2V3aGVyZSBpbiB0aGUgY29udHJhY3Qgc3VpdGUgLSBpZSBpbiB0aGUgc3ViY29udHJhY3RvciBzY2hlZHVsZS4gSXQgZmVlbHMgbGlrZSBpdCYjMzk7c8KgIGdlbmVyaWMgcmF0aGVyIHRoYW4gYSBzcGVjaWFsIHRlcm0uIElmIG5vdCBjb3ZlcmVkIGVsc2V3aGVyZSBoYXBweSB0byBsZWF2ZSBpbi4iywEKCnRleHQvcGxhaW4SvAFJcyB0aGlzIG5vdCBjb3ZlcmVkIGVsc2V3aGVyZSBpbiB0aGUgY29udHJhY3Qgc3VpdGUgLSBpZSBpbiB0aGUgc3ViY29udHJhY3RvciBzY2hlZHVsZS4gSXQgZmVlbHMgbGlrZSBpdCdzwqAgZ2VuZXJpYyByYXRoZXIgdGhhbiBhIHNwZWNpYWwgdGVybS4gSWYgbm90IGNvdmVyZWQgZWxzZXdoZXJlIGhhcHB5IHRvIGxlYXZlIGluLiobIhUxMDAwMTM3ODc3NzgyNTYxMDEwMzMoADgAMJ6fkbGFMjien5GxhTJaDDIzM2c3dnZrMDZkd3ICIAB4AIgBApoBBggAEAAYAKoBwwESwAFJcyB0aGlzIG5vdCBjb3ZlcmVkIGVsc2V3aGVyZSBpbiB0aGUgY29udHJhY3Qgc3VpdGUgLSBpZSBpbiB0aGUgc3ViY29udHJhY3RvciBzY2hlZHVsZS4gSXQgZmVlbHMgbGlrZSBpdCYjMzk7c8KgIGdlbmVyaWMgcmF0aGVyIHRoYW4gYSBzcGVjaWFsIHRlcm0uIElmIG5vdCBjb3ZlcmVkIGVsc2V3aGVyZSBoYXBweSB0byBsZWF2ZSBpbi6wAQC4AQFyRwoMU2ltb24gSGFycmlzGjcKNS8vc3NsLmdzdGF0aWMuY29tL2RvY3MvY29tbW9uL2JsdWVfc2lsaG91ZXR0ZTk2LTAucG5neACIAQGaAQYIABAAGACqAaUBEqIBVGhpcyBTcGVjaWFsIFRlcm0gaXMgaW5jbHVkZWQgZm9sbG93aW5nIG91ciByZXZpZXcgb2Ygd2hhdCB3YXMgcHJldmlvdXNseSBQYXJhZ3JhcGggMTEgKEFzc2lnbm1lbnQgYW5kIFN1Yi1Db250cmFjdGluZykgb2YgQ2FsbCBPZmYgU2NoZWR1bGUgMjUgKFNwZWNpYWwgU2NoZWR1bGUpsAEAuAEBGOCQ2KqFMiCen5GxhTIwAEIJa2l4LmNtdDExIp8ECgtBQUFCT1FLSXoxURLHAwoLQUFBQk9RS0l6MVESC0FBQUJPUUtJejFRGg0KCXRleHQvaHRtbBIAIg4KCnRleHQvcGxhaW4SACpFCgxTaW1vbiBIYXJyaXMaNS8vc3NsLmdzdGF0aWMuY29tL2RvY3MvY29tbW9uL2JsdWVfc2lsaG91ZXR0ZTk2LTAucG5nMODulaiFMjjg7pWohTJKoAEKJGFwcGxpY2F0aW9uL3ZuZC5nb29nbGUtYXBwcy5kb2NzLm1kcxp4wtfa5AFyGnAKbApmU3BlY2lhbCBUZXJtIDEwIOKAkyBDbGF1c2UgMjMuNzogTm90IHdpdGhzdGFuZGluZyBhbnkgY29uc2VudCBnaXZlbiBieSB0aGUgUmVsZXZhbnQgQXV0aG9yaXR5IHVuZGVyIENsEAEYARABckcKDFNpbW9uIEhhcnJpcxo3CjUvL3NzbC5nc3RhdGljLmNvbS9kb2NzL2NvbW1vbi9ibHVlX3NpbGhvdWV0dGU5Ni0wLnBuZ3gAggE2c3VnZ2VzdElkSW1wb3J0YTJjYjNhYTgtOThiYi00YzlhLWFkNTktYTQ3YWMxYjRhZmEyXzEziAEBmgEGCAAQABgAsAEAuAEBGODulaiFMiDg7pWohTIwAEI2c3VnZ2VzdElkSW1wb3J0YTJjYjNhYTgtOThiYi00YzlhLWFkNTktYTQ3YWMxYjRhZmEyXzEzIs8ICgtBQUFCT1FLSXoycxKdCAoLQUFBQk9RS0l6MnMSC0FBQUJPUUtJejJzGr8CCgl0ZXh0L2h0bWwSsQJJIHRob3VnaHQgd2Ugd2VyZSBkZWxldGluZyB0aGVtIGFzIHdlIGFncmVlZCB0aGV5IHdlcmVuJiMzOTt0IHJlbGV2YW50IGFzIGRpc2N1c3NlZCB3aXRoIFBhdWxpbmUuwqA8YnI+QWxzbywgdGhlcmUmIzM5O3MgYWxyZWFkeSBwcm92aXNpb24gZm9yIHRoaXMgaW4gc3BlY2lhbCBzY2hlZHVsZSAyNSBpbiBjbGF1c2UgNy41IHdoaWNoIGlzIHJlbGV2YW50IHRvIHRoZSBzZXJ2aWNlcywgc28ga2VlcGluZyB0aGVtIGluIHRoZSBDb3JlIFRlcm1zIHdvdWxkIGJlIGEgZHVwbGljYXRpb24uIMKgUGxlYXNlIGNvdWxkIHlvdSBjb25maXJtLiK1AgoKdGV4dC9wbGFpbhKmAkkgdGhvdWdodCB3ZSB3ZXJlIGRlbGV0aW5nIHRoZW0gYXMgd2UgYWdyZWVkIHRoZXkgd2VyZW4ndCByZWxldmFudCBhcyBkaXNjdXNzZWQgd2l0aCBQYXVsaW5lLsKgCkFsc28sIHRoZXJlJ3MgYWxyZWFkeSBwcm92aXNpb24gZm9yIHRoaXMgaW4gc3BlY2lhbCBzY2hlZHVsZSAyNSBpbiBjbGF1c2UgNy41IHdoaWNoIGlzIHJlbGV2YW50IHRvIHRoZSBzZXJ2aWNlcywgc28ga2VlcGluZyB0aGVtIGluIHRoZSBDb3JlIFRlcm1zIHdvdWxkIGJlIGEgZHVwbGljYXRpb24uIMKgUGxlYXNlIGNvdWxkIHlvdSBjb25maXJtLiobIhUxMDAwMTM3ODc3NzgyNTYxMDEwMzMoADgAMPWNrrGFMjifpoW0hTJaDDI4eG40ajViemlqb3ICIAB4AIgBApoBBggAEAAYAKoBtAISsQJJIHRob3VnaHQgd2Ugd2VyZSBkZWxldGluZyB0aGVtIGFzIHdlIGFncmVlZCB0aGV5IHdlcmVuJiMzOTt0IHJlbGV2YW50IGFzIGRpc2N1c3NlZCB3aXRoIFBhdWxpbmUuwqA8YnI+QWxzbywgdGhlcmUmIzM5O3MgYWxyZWFkeSBwcm92aXNpb24gZm9yIHRoaXMgaW4gc3BlY2lhbCBzY2hlZHVsZSAyNSBpbiBjbGF1c2UgNy41IHdoaWNoIGlzIHJlbGV2YW50IHRvIHRoZSBzZXJ2aWNlcywgc28ga2VlcGluZyB0aGVtIGluIHRoZSBDb3JlIFRlcm1zIHdvdWxkIGJlIGEgZHVwbGljYXRpb24uIMKgUGxlYXNlIGNvdWxkIHlvdSBjb25maXJtLrABALgBARj1ja6xhTIgn6aFtIUyMABCEGtpeC41YnpzdnBsdjRxdG4izAQKC0FBQUJPUUtJejFNEqEECgtBQUFCT1FLSXoxTRILQUFBQk9RS0l6MU0adgoJdGV4dC9odG1sEmlPbiByZWZsZWN0aW9uLCBhcyB0aGlzIGNsYXVzZSByZWxhdGVzIHRvICZxdW90O0dvb2RzJnF1b3Q7LCB3ZSBkbyBub3Qgc3VnZ2VzdCB0aGF0IGl0IG5lZWRzIHRvIGJlIGRlbGV0ZWQibQoKdGV4dC9wbGFpbhJfT24gcmVmbGVjdGlvbiwgYXMgdGhpcyBjbGF1c2UgcmVsYXRlcyB0byAiR29vZHMiLCB3ZSBkbyBub3Qgc3VnZ2VzdCB0aGF0IGl0IG5lZWRzIHRvIGJlIGRlbGV0ZWQqRQoMU2ltb24gSGFycmlzGjUvL3NzbC5nc3RhdGljLmNvbS9kb2NzL2NvbW1vbi9ibHVlX3NpbGhvdWV0dGU5Ni0wLnBuZzDAqY2hhTI4wKmNoYUyckcKDFNpbW9uIEhhcnJpcxo3CjUvL3NzbC5nc3RhdGljLmNvbS9kb2NzL2NvbW1vbi9ibHVlX3NpbGhvdWV0dGU5Ni0wLnBuZ3gAiAEBmgEGCAAQABgAqgFrEmlPbiByZWZsZWN0aW9uLCBhcyB0aGlzIGNsYXVzZSByZWxhdGVzIHRvICZxdW90O0dvb2RzJnF1b3Q7LCB3ZSBkbyBub3Qgc3VnZ2VzdCB0aGF0IGl0IG5lZWRzIHRvIGJlIGRlbGV0ZWSwAQC4AQEYwKmNoYUyIMCpjaGFMjAAQglraXguY210MTYivgkKC0FBQUJPUUtJejFJEpQJCgtBQUFCT1FLSXoxSRILQUFBQk9RS0l6MUka/wEKCXRleHQvaHRtbBLxAUJyaWRnZXQgLyBMZXdpcyDigJMgd2UgaW5jbHVkZWQgdGhpcyBTcGVjaWFsIFRlcm0gdG8gcmVwbGFjZSBDbGF1c2UgMy4zLjEsIHdoaWNoIHByZXZpb3VzbHkgc3RhdGVkIHRoYXQgTGF0ZSBEZWxpdmVyeSB3aWxsIGJlIGEgZGVmYXVsdC4gUGxlYXNlIGNhbiB3ZSBjaGVjayB3aGV0aGVyIHRoZSBCdXllciB3aWxsIG5lZWQgdGhpcyByaWdodCwgZ2l2ZW4gdGhhdCBpdCBpcyBvbmx5IGEgZGlzY3JldGlvbmFyeSByaWdodD8igAIKCnRleHQvcGxhaW4S8QFCcmlkZ2V0IC8gTGV3aXMg4oCTIHdlIGluY2x1ZGVkIHRoaXMgU3BlY2lhbCBUZXJtIHRvIHJlcGxhY2UgQ2xhdXNlIDMuMy4xLCB3aGljaCBwcmV2aW91c2x5IHN0YXRlZCB0aGF0IExhdGUgRGVsaXZlcnkgd2lsbCBiZSBhIGRlZmF1bHQuIFBsZWFzZSBjYW4gd2UgY2hlY2sgd2hldGhlciB0aGUgQnV5ZXIgd2lsbCBuZWVkIHRoaXMgcmlnaHQsIGdpdmVuIHRoYXQgaXQgaXMgb25seSBhIGRpc2NyZXRpb25hcnkgcmlnaHQ/KkUKDFNpbW9uIEhhcnJpcxo1Ly9zc2wuZ3N0YXRpYy5jb20vZG9jcy9jb21tb24vYmx1ZV9zaWxob3VldHRlOTYtMC5wbmcwgI/jqoUyOK/2vbCFMkLIAQoLQUFBQk9RS0l6MWMSC0FBQUJPUUtJejFJGiAKCXRleHQvaHRtbBITWWVzLCBwbGVhc2UgcmV0YWluLiIhCgp0ZXh0L3BsYWluEhNZZXMsIHBsZWFzZSByZXRhaW4uKhsiFTEwMDAxMzc4Nzc3ODI1NjEwMTAzMygAOAAwr/a9sIUyOK/2vbCFMloMdHltMmluODdseDBocgIgAHgAiAECmgEGCAAQABgAqgEVEhNZZXMsIHBsZWFzZSByZXRhaW4usAEAuAEBckcKDFNpbW9uIEhhcnJpcxo3CjUvL3NzbC5nc3RhdGljLmNvbS9kb2NzL2NvbW1vbi9ibHVlX3NpbGhvdWV0dGU5Ni0wLnBuZ3gAiAEBmgEGCAAQABgAqgH0ARLxAUJyaWRnZXQgLyBMZXdpcyDigJMgd2UgaW5jbHVkZWQgdGhpcyBTcGVjaWFsIFRlcm0gdG8gcmVwbGFjZSBDbGF1c2UgMy4zLjEsIHdoaWNoIHByZXZpb3VzbHkgc3RhdGVkIHRoYXQgTGF0ZSBEZWxpdmVyeSB3aWxsIGJlIGEgZGVmYXVsdC4gUGxlYXNlIGNhbiB3ZSBjaGVjayB3aGV0aGVyIHRoZSBCdXllciB3aWxsIG5lZWQgdGhpcyByaWdodCwgZ2l2ZW4gdGhhdCBpdCBpcyBvbmx5IGEgZGlzY3JldGlvbmFyeSByaWdodD+wAQC4AQEYgI/jqoUyIK/2vbCFMjAAQghraXguY210NzIIaC5namRneHM4AGpFCjVzdWdnZXN0SWRJbXBvcnRhMmNiM2FhOC05OGJiLTRjOWEtYWQ1OS1hNDdhYzFiNGFmYTJfMRIMU2ltb24gSGFycmlzakYKNnN1Z2dlc3RJZEltcG9ydGEyY2IzYWE4LTk4YmItNGM5YS1hZDU5LWE0N2FjMWI0YWZhMl82NhIMU2ltb24gSGFycmlzakYKNnN1Z2dlc3RJZEltcG9ydGEyY2IzYWE4LTk4YmItNGM5YS1hZDU5LWE0N2FjMWI0YWZhMl8zOBIMU2ltb24gSGFycmlzakYKNnN1Z2dlc3RJZEltcG9ydGEyY2IzYWE4LTk4YmItNGM5YS1hZDU5LWE0N2FjMWI0YWZhMl8xMxIMU2ltb24gSGFycmlzciExVjJRQTVHdGVHbHpjRlZRXzc0c2I1SV9jNDJRRlJpZ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1754</Words>
  <Characters>9405</Characters>
  <Application>Microsoft Office Word</Application>
  <DocSecurity>0</DocSecurity>
  <PresentationFormat/>
  <Lines>408</Lines>
  <Paragraphs>223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Simon Harris</cp:lastModifiedBy>
  <cp:revision>7</cp:revision>
  <dcterms:created xsi:type="dcterms:W3CDTF">2024-06-28T07:41:00Z</dcterms:created>
  <dcterms:modified xsi:type="dcterms:W3CDTF">2024-06-28T09:07:00Z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90289887-2</vt:lpwstr>
  </property>
</Properties>
</file>